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19A6" w14:textId="20101A94" w:rsidR="00566FC5" w:rsidRDefault="0077402D" w:rsidP="007C7305">
      <w:pPr>
        <w:rPr>
          <w:rFonts w:ascii="Arial" w:hAnsi="Arial" w:cs="Arial"/>
          <w:b/>
          <w:sz w:val="22"/>
          <w:szCs w:val="22"/>
        </w:rPr>
      </w:pPr>
      <w:r w:rsidRPr="004B0B02">
        <w:rPr>
          <w:rFonts w:ascii="Arial" w:hAnsi="Arial" w:cs="Arial"/>
          <w:b/>
          <w:sz w:val="22"/>
          <w:szCs w:val="22"/>
        </w:rPr>
        <w:t xml:space="preserve">Specialist Medication </w:t>
      </w:r>
      <w:r>
        <w:rPr>
          <w:rFonts w:ascii="Arial" w:hAnsi="Arial" w:cs="Arial"/>
          <w:b/>
          <w:sz w:val="22"/>
          <w:szCs w:val="22"/>
        </w:rPr>
        <w:t xml:space="preserve">Monitoring / </w:t>
      </w:r>
      <w:r w:rsidR="00697B89">
        <w:rPr>
          <w:rFonts w:ascii="Arial" w:hAnsi="Arial" w:cs="Arial"/>
          <w:b/>
          <w:sz w:val="22"/>
          <w:szCs w:val="22"/>
        </w:rPr>
        <w:t>Shared Care Agreement</w:t>
      </w:r>
    </w:p>
    <w:p w14:paraId="585D74F9" w14:textId="77777777" w:rsidR="00697B89" w:rsidRDefault="00697B89" w:rsidP="007C7305">
      <w:pPr>
        <w:rPr>
          <w:rFonts w:ascii="Arial" w:hAnsi="Arial" w:cs="Arial"/>
          <w:sz w:val="22"/>
          <w:szCs w:val="22"/>
        </w:rPr>
      </w:pPr>
    </w:p>
    <w:p w14:paraId="2DE6CE42" w14:textId="085CCF87" w:rsidR="007C7305" w:rsidRPr="007C7305" w:rsidRDefault="007C7305" w:rsidP="007C7305">
      <w:pPr>
        <w:rPr>
          <w:rFonts w:ascii="Arial" w:hAnsi="Arial" w:cs="Arial"/>
          <w:sz w:val="22"/>
          <w:szCs w:val="22"/>
        </w:rPr>
      </w:pPr>
      <w:r w:rsidRPr="007C7305">
        <w:rPr>
          <w:rFonts w:ascii="Arial" w:hAnsi="Arial" w:cs="Arial"/>
          <w:sz w:val="22"/>
          <w:szCs w:val="22"/>
        </w:rPr>
        <w:t>&lt;Recipient Name&gt;</w:t>
      </w:r>
    </w:p>
    <w:p w14:paraId="0A8396BE" w14:textId="77777777" w:rsidR="007C7305" w:rsidRPr="007C7305" w:rsidRDefault="007C7305" w:rsidP="007C7305">
      <w:pPr>
        <w:rPr>
          <w:rFonts w:ascii="Arial" w:hAnsi="Arial" w:cs="Arial"/>
          <w:sz w:val="22"/>
          <w:szCs w:val="22"/>
        </w:rPr>
      </w:pPr>
      <w:r w:rsidRPr="007C7305">
        <w:rPr>
          <w:rFonts w:ascii="Arial" w:hAnsi="Arial" w:cs="Arial"/>
          <w:sz w:val="22"/>
          <w:szCs w:val="22"/>
        </w:rPr>
        <w:t>&lt;Recipient Details&gt;</w:t>
      </w:r>
    </w:p>
    <w:p w14:paraId="7F1ED6CF" w14:textId="753AA58D" w:rsidR="00817691" w:rsidRDefault="007C7305" w:rsidP="007C7305">
      <w:pPr>
        <w:rPr>
          <w:rFonts w:ascii="Arial" w:hAnsi="Arial" w:cs="Arial"/>
          <w:sz w:val="22"/>
          <w:szCs w:val="22"/>
        </w:rPr>
      </w:pPr>
      <w:r w:rsidRPr="007C7305">
        <w:rPr>
          <w:rFonts w:ascii="Arial" w:hAnsi="Arial" w:cs="Arial"/>
          <w:sz w:val="22"/>
          <w:szCs w:val="22"/>
        </w:rPr>
        <w:t>&lt;Recipient Address&gt;</w:t>
      </w:r>
      <w:r w:rsidRPr="007C7305">
        <w:rPr>
          <w:rFonts w:ascii="Arial" w:hAnsi="Arial" w:cs="Arial"/>
          <w:sz w:val="22"/>
          <w:szCs w:val="22"/>
        </w:rPr>
        <w:tab/>
      </w:r>
    </w:p>
    <w:p w14:paraId="3D93B49E" w14:textId="77777777" w:rsidR="00817691" w:rsidRDefault="00817691" w:rsidP="00817691">
      <w:pPr>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77777777"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r w:rsidRPr="001E55C4">
        <w:rPr>
          <w:rFonts w:ascii="Arial" w:hAnsi="Arial" w:cs="Arial"/>
          <w:sz w:val="22"/>
          <w:szCs w:val="22"/>
        </w:rPr>
        <w:tab/>
      </w:r>
    </w:p>
    <w:p w14:paraId="0F330BA7" w14:textId="15328475" w:rsidR="007C7305" w:rsidRDefault="007C7305" w:rsidP="007C7305">
      <w:pPr>
        <w:jc w:val="right"/>
        <w:rPr>
          <w:rFonts w:ascii="Arial" w:hAnsi="Arial" w:cs="Arial"/>
          <w:sz w:val="22"/>
          <w:szCs w:val="22"/>
        </w:rPr>
      </w:pPr>
      <w:r>
        <w:rPr>
          <w:rFonts w:ascii="Arial" w:hAnsi="Arial" w:cs="Arial"/>
          <w:sz w:val="22"/>
          <w:szCs w:val="22"/>
        </w:rPr>
        <w:t xml:space="preserve">Ref: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452C62F" w14:textId="77777777" w:rsidR="007C7305" w:rsidRDefault="007C7305" w:rsidP="007C7305">
      <w:pPr>
        <w:rPr>
          <w:rFonts w:ascii="Arial" w:hAnsi="Arial" w:cs="Arial"/>
          <w:sz w:val="22"/>
          <w:szCs w:val="22"/>
        </w:rPr>
      </w:pPr>
    </w:p>
    <w:p w14:paraId="4CEF34E6" w14:textId="77777777"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&lt;Recipient Name&gt;</w:t>
      </w:r>
    </w:p>
    <w:p w14:paraId="0FCD449B" w14:textId="77777777" w:rsidR="007C7305" w:rsidRDefault="007C7305" w:rsidP="007C7305">
      <w:pPr>
        <w:rPr>
          <w:rFonts w:ascii="Arial" w:hAnsi="Arial" w:cs="Arial"/>
          <w:sz w:val="22"/>
          <w:szCs w:val="22"/>
        </w:rPr>
      </w:pPr>
    </w:p>
    <w:bookmarkEnd w:id="0"/>
    <w:p w14:paraId="384EA178" w14:textId="77777777" w:rsidR="00AA72D2" w:rsidRPr="00AA72D2" w:rsidRDefault="00AA72D2" w:rsidP="00AA72D2">
      <w:pPr>
        <w:rPr>
          <w:rFonts w:ascii="Arial" w:hAnsi="Arial" w:cs="Arial"/>
          <w:b/>
          <w:sz w:val="22"/>
          <w:szCs w:val="22"/>
        </w:rPr>
      </w:pPr>
      <w:r w:rsidRPr="00AA72D2">
        <w:rPr>
          <w:rFonts w:ascii="Arial" w:hAnsi="Arial" w:cs="Arial"/>
          <w:b/>
          <w:sz w:val="22"/>
          <w:szCs w:val="22"/>
        </w:rPr>
        <w:t>Re:</w:t>
      </w:r>
      <w:r w:rsidRPr="00AA72D2">
        <w:rPr>
          <w:rFonts w:ascii="Arial" w:hAnsi="Arial" w:cs="Arial"/>
          <w:b/>
          <w:sz w:val="22"/>
          <w:szCs w:val="22"/>
        </w:rPr>
        <w:tab/>
        <w:t>Patient Name: &lt;Patient name&gt;</w:t>
      </w:r>
    </w:p>
    <w:p w14:paraId="3B954D57" w14:textId="77777777" w:rsidR="00AA72D2" w:rsidRPr="00AA72D2" w:rsidRDefault="00AA72D2" w:rsidP="00AA72D2">
      <w:pPr>
        <w:ind w:firstLine="720"/>
        <w:rPr>
          <w:rFonts w:ascii="Arial" w:hAnsi="Arial" w:cs="Arial"/>
          <w:b/>
          <w:sz w:val="22"/>
          <w:szCs w:val="22"/>
        </w:rPr>
      </w:pPr>
      <w:r w:rsidRPr="00AA72D2">
        <w:rPr>
          <w:rFonts w:ascii="Arial" w:hAnsi="Arial" w:cs="Arial"/>
          <w:b/>
          <w:sz w:val="22"/>
          <w:szCs w:val="22"/>
        </w:rPr>
        <w:t>NHS Number: &lt;NHS number&gt;</w:t>
      </w:r>
    </w:p>
    <w:p w14:paraId="69C4C6CA" w14:textId="77777777" w:rsidR="00AA72D2" w:rsidRPr="00AA72D2" w:rsidRDefault="00AA72D2" w:rsidP="00AA72D2">
      <w:pPr>
        <w:ind w:firstLine="720"/>
        <w:rPr>
          <w:rFonts w:ascii="Arial" w:hAnsi="Arial" w:cs="Arial"/>
          <w:b/>
          <w:sz w:val="22"/>
          <w:szCs w:val="22"/>
        </w:rPr>
      </w:pPr>
      <w:r w:rsidRPr="00AA72D2">
        <w:rPr>
          <w:rFonts w:ascii="Arial" w:hAnsi="Arial" w:cs="Arial"/>
          <w:b/>
          <w:sz w:val="22"/>
          <w:szCs w:val="22"/>
        </w:rPr>
        <w:t>Address: &lt;Patient Address&gt;</w:t>
      </w:r>
    </w:p>
    <w:p w14:paraId="62D87807" w14:textId="3D0B1876" w:rsidR="00817691" w:rsidRDefault="00AA72D2" w:rsidP="00AA72D2">
      <w:pPr>
        <w:ind w:firstLine="720"/>
        <w:rPr>
          <w:rFonts w:ascii="Arial" w:hAnsi="Arial" w:cs="Arial"/>
          <w:b/>
          <w:sz w:val="22"/>
          <w:szCs w:val="22"/>
        </w:rPr>
      </w:pPr>
      <w:r w:rsidRPr="00AA72D2">
        <w:rPr>
          <w:rFonts w:ascii="Arial" w:hAnsi="Arial" w:cs="Arial"/>
          <w:b/>
          <w:sz w:val="22"/>
          <w:szCs w:val="22"/>
        </w:rPr>
        <w:t>Telephone: &lt;Patient Contact Details&gt;</w:t>
      </w:r>
    </w:p>
    <w:p w14:paraId="040E0F3B" w14:textId="77777777" w:rsidR="00AA72D2" w:rsidRDefault="00AA72D2" w:rsidP="00AA72D2">
      <w:pPr>
        <w:rPr>
          <w:rFonts w:ascii="Arial" w:hAnsi="Arial" w:cs="Arial"/>
          <w:sz w:val="22"/>
          <w:szCs w:val="22"/>
        </w:rPr>
      </w:pPr>
    </w:p>
    <w:p w14:paraId="47D2EF08" w14:textId="77777777" w:rsidR="00AA72D2" w:rsidRPr="00AA72D2" w:rsidRDefault="00AA72D2" w:rsidP="00AA72D2">
      <w:pPr>
        <w:rPr>
          <w:rFonts w:ascii="Arial" w:hAnsi="Arial" w:cs="Arial"/>
          <w:sz w:val="22"/>
          <w:szCs w:val="22"/>
        </w:rPr>
      </w:pPr>
      <w:r w:rsidRPr="00AA72D2">
        <w:rPr>
          <w:rFonts w:ascii="Arial" w:hAnsi="Arial" w:cs="Arial"/>
          <w:sz w:val="22"/>
          <w:szCs w:val="22"/>
        </w:rPr>
        <w:t>Please accept this as 6-months’ notice that we are no longer able to undertake shared care agreements and have served notice of such to the ICB.  Please be aware that this will require you to retain monitoring and review of this patient as well as undertake ongoing prescribing of the relevant medication.</w:t>
      </w:r>
    </w:p>
    <w:p w14:paraId="0228D2A3" w14:textId="77777777" w:rsidR="00AA72D2" w:rsidRPr="00AA72D2" w:rsidRDefault="00AA72D2" w:rsidP="00AA72D2">
      <w:pPr>
        <w:rPr>
          <w:rFonts w:ascii="Arial" w:hAnsi="Arial" w:cs="Arial"/>
          <w:sz w:val="22"/>
          <w:szCs w:val="22"/>
        </w:rPr>
      </w:pPr>
    </w:p>
    <w:p w14:paraId="73256AB0" w14:textId="77777777" w:rsidR="00AA72D2" w:rsidRPr="00AA72D2" w:rsidRDefault="00AA72D2" w:rsidP="00AA72D2">
      <w:pPr>
        <w:rPr>
          <w:rFonts w:ascii="Arial" w:hAnsi="Arial" w:cs="Arial"/>
          <w:sz w:val="22"/>
          <w:szCs w:val="22"/>
        </w:rPr>
      </w:pPr>
      <w:r w:rsidRPr="00AA72D2">
        <w:rPr>
          <w:rFonts w:ascii="Arial" w:hAnsi="Arial" w:cs="Arial"/>
          <w:sz w:val="22"/>
          <w:szCs w:val="22"/>
        </w:rPr>
        <w:t>The patient is currently prescribed &lt;</w:t>
      </w:r>
      <w:r w:rsidRPr="00AA72D2">
        <w:rPr>
          <w:rFonts w:ascii="Arial" w:hAnsi="Arial" w:cs="Arial"/>
          <w:b/>
          <w:bCs/>
          <w:sz w:val="22"/>
          <w:szCs w:val="22"/>
        </w:rPr>
        <w:t>INSERT SHARED CARE MEDICATION FROM LIST OF REPEAT MEDICATION BELOW COMPARED TO THE SHARED CARE LIST</w:t>
      </w:r>
      <w:r w:rsidRPr="00AA72D2">
        <w:rPr>
          <w:rFonts w:ascii="Arial" w:hAnsi="Arial" w:cs="Arial"/>
          <w:sz w:val="22"/>
          <w:szCs w:val="22"/>
        </w:rPr>
        <w:t>&gt;.</w:t>
      </w:r>
    </w:p>
    <w:p w14:paraId="7D7AD9F9" w14:textId="77777777" w:rsidR="00AA72D2" w:rsidRPr="00AA72D2" w:rsidRDefault="00AA72D2" w:rsidP="00AA72D2">
      <w:pPr>
        <w:rPr>
          <w:rFonts w:ascii="Arial" w:hAnsi="Arial" w:cs="Arial"/>
          <w:sz w:val="22"/>
          <w:szCs w:val="22"/>
        </w:rPr>
      </w:pPr>
    </w:p>
    <w:p w14:paraId="268EA146" w14:textId="6D0915EC" w:rsidR="007C7305" w:rsidRDefault="00AA72D2" w:rsidP="00AA72D2">
      <w:pPr>
        <w:rPr>
          <w:rFonts w:ascii="Arial" w:hAnsi="Arial" w:cs="Arial"/>
          <w:sz w:val="22"/>
          <w:szCs w:val="22"/>
        </w:rPr>
      </w:pPr>
      <w:r w:rsidRPr="00AA72D2">
        <w:rPr>
          <w:rFonts w:ascii="Arial" w:hAnsi="Arial" w:cs="Arial"/>
          <w:sz w:val="22"/>
          <w:szCs w:val="22"/>
        </w:rPr>
        <w:t>&lt;Repeat Templates&gt; *</w:t>
      </w:r>
    </w:p>
    <w:p w14:paraId="1142F73F" w14:textId="77777777" w:rsidR="00AA72D2" w:rsidRPr="008123B1" w:rsidRDefault="00AA72D2" w:rsidP="00AA72D2">
      <w:pPr>
        <w:rPr>
          <w:rFonts w:ascii="Arial" w:hAnsi="Arial" w:cs="Arial"/>
          <w:sz w:val="22"/>
          <w:szCs w:val="22"/>
        </w:rPr>
      </w:pPr>
    </w:p>
    <w:p w14:paraId="48437E14" w14:textId="77777777" w:rsidR="008D6F18" w:rsidRPr="009E120D" w:rsidRDefault="008D6F18" w:rsidP="008D6F18">
      <w:pPr>
        <w:rPr>
          <w:rFonts w:ascii="Arial" w:hAnsi="Arial" w:cs="Arial"/>
          <w:sz w:val="22"/>
          <w:szCs w:val="22"/>
        </w:rPr>
      </w:pPr>
      <w:r w:rsidRPr="009E120D">
        <w:rPr>
          <w:rFonts w:ascii="Arial" w:hAnsi="Arial" w:cs="Arial"/>
          <w:sz w:val="22"/>
          <w:szCs w:val="22"/>
        </w:rPr>
        <w:t xml:space="preserve">Latest </w:t>
      </w:r>
      <w:r w:rsidRPr="00B55527">
        <w:rPr>
          <w:rFonts w:ascii="Arial" w:hAnsi="Arial" w:cs="Arial"/>
          <w:b/>
          <w:bCs/>
          <w:sz w:val="22"/>
          <w:szCs w:val="22"/>
        </w:rPr>
        <w:t>X</w:t>
      </w:r>
      <w:r>
        <w:rPr>
          <w:rFonts w:ascii="Arial" w:hAnsi="Arial" w:cs="Arial"/>
          <w:sz w:val="22"/>
          <w:szCs w:val="22"/>
        </w:rPr>
        <w:t xml:space="preserve"> </w:t>
      </w:r>
      <w:r w:rsidRPr="009E120D">
        <w:rPr>
          <w:rFonts w:ascii="Arial" w:hAnsi="Arial" w:cs="Arial"/>
          <w:sz w:val="22"/>
          <w:szCs w:val="22"/>
        </w:rPr>
        <w:t>blood results are included for your reference.</w:t>
      </w:r>
    </w:p>
    <w:p w14:paraId="2855D9B9" w14:textId="77777777" w:rsidR="00D64423" w:rsidRDefault="00D64423" w:rsidP="00D64423">
      <w:pPr>
        <w:rPr>
          <w:rFonts w:ascii="Arial" w:hAnsi="Arial" w:cs="Arial"/>
          <w:sz w:val="22"/>
          <w:szCs w:val="22"/>
        </w:rPr>
      </w:pPr>
    </w:p>
    <w:p w14:paraId="008E5DA3" w14:textId="77777777" w:rsidR="00D64423" w:rsidRDefault="00D64423" w:rsidP="00D64423">
      <w:pPr>
        <w:rPr>
          <w:rFonts w:ascii="Arial" w:hAnsi="Arial" w:cs="Arial"/>
          <w:sz w:val="22"/>
          <w:szCs w:val="22"/>
        </w:rPr>
      </w:pPr>
      <w:r>
        <w:rPr>
          <w:rFonts w:ascii="Arial" w:hAnsi="Arial" w:cs="Arial"/>
          <w:sz w:val="22"/>
          <w:szCs w:val="22"/>
        </w:rPr>
        <w:t>&lt;Pathology &amp; Radiology Reports(table)&gt;</w:t>
      </w:r>
    </w:p>
    <w:p w14:paraId="15756246" w14:textId="77777777" w:rsidR="008123B1" w:rsidRPr="008123B1" w:rsidRDefault="008123B1" w:rsidP="008123B1">
      <w:pPr>
        <w:rPr>
          <w:rFonts w:ascii="Arial" w:hAnsi="Arial" w:cs="Arial"/>
          <w:sz w:val="22"/>
          <w:szCs w:val="22"/>
        </w:rPr>
      </w:pPr>
    </w:p>
    <w:p w14:paraId="1AFB625F" w14:textId="014D35CD" w:rsidR="00697B89" w:rsidRPr="0025010B" w:rsidRDefault="0025010B" w:rsidP="008123B1">
      <w:pPr>
        <w:rPr>
          <w:rFonts w:ascii="Arial" w:hAnsi="Arial" w:cs="Arial"/>
          <w:sz w:val="22"/>
          <w:szCs w:val="22"/>
        </w:rPr>
      </w:pPr>
      <w:r w:rsidRPr="0025010B">
        <w:rPr>
          <w:rFonts w:ascii="Arial" w:hAnsi="Arial" w:cs="Arial"/>
          <w:sz w:val="22"/>
          <w:szCs w:val="22"/>
        </w:rPr>
        <w:t>Due to the escalating pressures on general practice, we can no longer undertake work that would ideally be undertaken solely in secondary care without the appropriate resources and mechanisms in place to support this non-core work.</w:t>
      </w:r>
    </w:p>
    <w:p w14:paraId="7C22DD40" w14:textId="77777777" w:rsidR="0025010B" w:rsidRPr="001131E1" w:rsidRDefault="0025010B" w:rsidP="008123B1">
      <w:pPr>
        <w:rPr>
          <w:rFonts w:ascii="Arial" w:hAnsi="Arial" w:cs="Arial"/>
          <w:color w:val="FF0000"/>
          <w:sz w:val="22"/>
          <w:szCs w:val="22"/>
        </w:rPr>
      </w:pPr>
    </w:p>
    <w:p w14:paraId="5AEFC0E5" w14:textId="5D367179" w:rsidR="00697B89" w:rsidRPr="00697B89" w:rsidRDefault="00E35539" w:rsidP="008123B1">
      <w:pPr>
        <w:rPr>
          <w:rFonts w:ascii="Arial" w:hAnsi="Arial" w:cs="Arial"/>
          <w:sz w:val="22"/>
          <w:szCs w:val="22"/>
        </w:rPr>
      </w:pPr>
      <w:r>
        <w:rPr>
          <w:rFonts w:ascii="Arial" w:hAnsi="Arial" w:cs="Arial"/>
          <w:sz w:val="22"/>
          <w:szCs w:val="22"/>
        </w:rPr>
        <w:t>T</w:t>
      </w:r>
      <w:r w:rsidR="00697B89">
        <w:rPr>
          <w:rFonts w:ascii="Arial" w:hAnsi="Arial" w:cs="Arial"/>
          <w:sz w:val="22"/>
          <w:szCs w:val="22"/>
        </w:rPr>
        <w:t>he patient</w:t>
      </w:r>
      <w:r>
        <w:rPr>
          <w:rFonts w:ascii="Arial" w:hAnsi="Arial" w:cs="Arial"/>
          <w:sz w:val="22"/>
          <w:szCs w:val="22"/>
        </w:rPr>
        <w:t xml:space="preserve"> will be monitored until the date our notice is reached and continue to receive medication from us during this time.</w:t>
      </w:r>
    </w:p>
    <w:p w14:paraId="7908BBE8" w14:textId="77777777" w:rsidR="008123B1" w:rsidRPr="008123B1" w:rsidRDefault="008123B1" w:rsidP="008123B1">
      <w:pPr>
        <w:rPr>
          <w:rFonts w:ascii="Arial" w:hAnsi="Arial" w:cs="Arial"/>
          <w:sz w:val="22"/>
          <w:szCs w:val="22"/>
        </w:rPr>
      </w:pPr>
    </w:p>
    <w:p w14:paraId="61A86B60" w14:textId="3884194D" w:rsidR="008123B1" w:rsidRPr="008123B1" w:rsidRDefault="008123B1" w:rsidP="008123B1">
      <w:pPr>
        <w:rPr>
          <w:rFonts w:ascii="Arial" w:hAnsi="Arial" w:cs="Arial"/>
          <w:sz w:val="22"/>
          <w:szCs w:val="22"/>
        </w:rPr>
      </w:pPr>
      <w:r w:rsidRPr="008123B1">
        <w:rPr>
          <w:rFonts w:ascii="Arial" w:hAnsi="Arial" w:cs="Arial"/>
          <w:sz w:val="22"/>
          <w:szCs w:val="22"/>
        </w:rPr>
        <w:t>Thank you for your ongoing care of our mutual patients to continue their safe monitoring</w:t>
      </w:r>
      <w:r w:rsidR="00697B89">
        <w:rPr>
          <w:rFonts w:ascii="Arial" w:hAnsi="Arial" w:cs="Arial"/>
          <w:sz w:val="22"/>
          <w:szCs w:val="22"/>
        </w:rPr>
        <w:t xml:space="preserve"> and prescribing</w:t>
      </w:r>
      <w:r w:rsidRPr="008123B1">
        <w:rPr>
          <w:rFonts w:ascii="Arial" w:hAnsi="Arial" w:cs="Arial"/>
          <w:sz w:val="22"/>
          <w:szCs w:val="22"/>
        </w:rPr>
        <w:t>.</w:t>
      </w:r>
    </w:p>
    <w:p w14:paraId="152C3E09" w14:textId="77777777" w:rsidR="008123B1" w:rsidRDefault="008123B1" w:rsidP="008123B1"/>
    <w:p w14:paraId="52963AE4" w14:textId="77777777" w:rsidR="007C7305" w:rsidRDefault="007C7305" w:rsidP="007C7305">
      <w:pPr>
        <w:rPr>
          <w:rFonts w:ascii="Arial" w:hAnsi="Arial" w:cs="Arial"/>
          <w:sz w:val="22"/>
          <w:szCs w:val="22"/>
        </w:rPr>
      </w:pPr>
      <w:r>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5272ED83" w:rsidR="003D3D88"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p w14:paraId="3B9EF8CD" w14:textId="77777777" w:rsidR="0077402D" w:rsidRDefault="0077402D">
      <w:pPr>
        <w:spacing w:after="160" w:line="259" w:lineRule="auto"/>
        <w:rPr>
          <w:rFonts w:ascii="Arial" w:hAnsi="Arial" w:cs="Arial"/>
          <w:b/>
          <w:sz w:val="22"/>
          <w:szCs w:val="22"/>
        </w:rPr>
      </w:pPr>
    </w:p>
    <w:p w14:paraId="0394D724" w14:textId="77777777" w:rsidR="00AA72D2" w:rsidRDefault="00AA72D2" w:rsidP="0077402D">
      <w:pPr>
        <w:rPr>
          <w:rFonts w:ascii="Arial" w:hAnsi="Arial" w:cs="Arial"/>
          <w:i/>
          <w:iCs/>
          <w:sz w:val="18"/>
          <w:szCs w:val="18"/>
        </w:rPr>
      </w:pPr>
    </w:p>
    <w:p w14:paraId="1E0E89DE" w14:textId="5113E714" w:rsidR="0077402D" w:rsidRPr="0077402D" w:rsidRDefault="0077402D" w:rsidP="0077402D">
      <w:pPr>
        <w:rPr>
          <w:rFonts w:ascii="Arial" w:hAnsi="Arial" w:cs="Arial"/>
          <w:i/>
          <w:iCs/>
          <w:sz w:val="18"/>
          <w:szCs w:val="18"/>
        </w:rPr>
      </w:pPr>
      <w:r w:rsidRPr="00DC5D3B">
        <w:rPr>
          <w:rFonts w:ascii="Arial" w:hAnsi="Arial" w:cs="Arial"/>
          <w:i/>
          <w:iCs/>
          <w:sz w:val="18"/>
          <w:szCs w:val="18"/>
        </w:rPr>
        <w:t>*</w:t>
      </w:r>
      <w:r w:rsidRPr="00DC5D3B">
        <w:rPr>
          <w:rFonts w:ascii="Arial" w:hAnsi="Arial" w:cs="Arial"/>
          <w:b/>
          <w:bCs/>
          <w:i/>
          <w:iCs/>
          <w:sz w:val="18"/>
          <w:szCs w:val="18"/>
        </w:rPr>
        <w:t>Note</w:t>
      </w:r>
      <w:r w:rsidRPr="00DC5D3B">
        <w:rPr>
          <w:rFonts w:ascii="Arial" w:hAnsi="Arial" w:cs="Arial"/>
          <w:i/>
          <w:iCs/>
          <w:sz w:val="18"/>
          <w:szCs w:val="18"/>
        </w:rPr>
        <w:t xml:space="preserve">: Delete this paragraph, additional medication the patient has on repeat that is not on the shared care list and the pages containing the list of medication commissioned as part of the Shared Care / Specialised Drug Monitoring enhanced service after creating letter to the </w:t>
      </w:r>
      <w:r>
        <w:rPr>
          <w:rFonts w:ascii="Arial" w:hAnsi="Arial" w:cs="Arial"/>
          <w:i/>
          <w:iCs/>
          <w:sz w:val="18"/>
          <w:szCs w:val="18"/>
        </w:rPr>
        <w:t xml:space="preserve">consultant </w:t>
      </w:r>
      <w:r w:rsidRPr="00DC5D3B">
        <w:rPr>
          <w:rFonts w:ascii="Arial" w:hAnsi="Arial" w:cs="Arial"/>
          <w:i/>
          <w:iCs/>
          <w:sz w:val="18"/>
          <w:szCs w:val="18"/>
        </w:rPr>
        <w:t>but before saving and sending.</w:t>
      </w:r>
      <w:r>
        <w:rPr>
          <w:rFonts w:ascii="Arial" w:hAnsi="Arial" w:cs="Arial"/>
          <w:b/>
          <w:sz w:val="22"/>
          <w:szCs w:val="22"/>
        </w:rPr>
        <w:br w:type="page"/>
      </w:r>
    </w:p>
    <w:p w14:paraId="785B599D" w14:textId="77777777" w:rsidR="003D3D88" w:rsidRDefault="003D3D88">
      <w:pPr>
        <w:spacing w:after="160" w:line="259" w:lineRule="auto"/>
        <w:rPr>
          <w:rFonts w:ascii="Arial" w:hAnsi="Arial" w:cs="Arial"/>
          <w:b/>
          <w:sz w:val="22"/>
          <w:szCs w:val="22"/>
        </w:rPr>
      </w:pPr>
    </w:p>
    <w:p w14:paraId="2ECBC3DE" w14:textId="77777777" w:rsidR="003D3D88" w:rsidRDefault="003D3D88" w:rsidP="003D3D88">
      <w:pPr>
        <w:spacing w:after="160" w:line="259" w:lineRule="auto"/>
        <w:rPr>
          <w:rFonts w:ascii="Arial" w:hAnsi="Arial" w:cs="Arial"/>
          <w:b/>
          <w:sz w:val="22"/>
          <w:szCs w:val="22"/>
        </w:rPr>
      </w:pPr>
      <w:r w:rsidRPr="004B0B02">
        <w:rPr>
          <w:rFonts w:ascii="Arial" w:hAnsi="Arial" w:cs="Arial"/>
          <w:b/>
          <w:bCs/>
          <w:sz w:val="22"/>
          <w:szCs w:val="22"/>
        </w:rPr>
        <w:t>CURRENT MEDICATION ON SHARED CARE AGREEMENTS</w:t>
      </w:r>
      <w:r>
        <w:rPr>
          <w:rFonts w:ascii="Arial" w:hAnsi="Arial" w:cs="Arial"/>
          <w:b/>
          <w:bCs/>
          <w:sz w:val="22"/>
          <w:szCs w:val="22"/>
        </w:rPr>
        <w:t xml:space="preserve"> FROM LINCOLNSHIRE ICB</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774"/>
        <w:gridCol w:w="4007"/>
      </w:tblGrid>
      <w:tr w:rsidR="003D3D88" w:rsidRPr="004B0B02" w14:paraId="564D4D2E" w14:textId="77777777" w:rsidTr="002A720F">
        <w:trPr>
          <w:tblHeader/>
          <w:jc w:val="center"/>
        </w:trPr>
        <w:tc>
          <w:tcPr>
            <w:tcW w:w="568" w:type="dxa"/>
            <w:tcBorders>
              <w:top w:val="single" w:sz="4" w:space="0" w:color="auto"/>
              <w:left w:val="single" w:sz="4" w:space="0" w:color="auto"/>
              <w:bottom w:val="single" w:sz="4" w:space="0" w:color="auto"/>
              <w:right w:val="single" w:sz="4" w:space="0" w:color="auto"/>
            </w:tcBorders>
          </w:tcPr>
          <w:p w14:paraId="5A25FAA8" w14:textId="77777777" w:rsidR="003D3D88" w:rsidRPr="004B0B02" w:rsidRDefault="003D3D88" w:rsidP="002A720F">
            <w:pPr>
              <w:jc w:val="center"/>
              <w:rPr>
                <w:rFonts w:ascii="Arial" w:hAnsi="Arial" w:cs="Arial"/>
                <w:b/>
                <w:color w:val="000000" w:themeColor="text1"/>
              </w:rPr>
            </w:pPr>
          </w:p>
        </w:tc>
        <w:tc>
          <w:tcPr>
            <w:tcW w:w="5774" w:type="dxa"/>
            <w:tcBorders>
              <w:top w:val="single" w:sz="4" w:space="0" w:color="auto"/>
              <w:left w:val="single" w:sz="4" w:space="0" w:color="auto"/>
              <w:bottom w:val="single" w:sz="4" w:space="0" w:color="auto"/>
              <w:right w:val="single" w:sz="4" w:space="0" w:color="auto"/>
            </w:tcBorders>
            <w:hideMark/>
          </w:tcPr>
          <w:p w14:paraId="7E0DE528" w14:textId="77777777" w:rsidR="003D3D88" w:rsidRPr="004B0B02" w:rsidRDefault="003D3D88" w:rsidP="002A720F">
            <w:pPr>
              <w:jc w:val="center"/>
              <w:rPr>
                <w:rFonts w:ascii="Arial" w:hAnsi="Arial" w:cs="Arial"/>
                <w:b/>
                <w:color w:val="000000" w:themeColor="text1"/>
              </w:rPr>
            </w:pPr>
            <w:r w:rsidRPr="004B0B02">
              <w:rPr>
                <w:rFonts w:ascii="Arial" w:hAnsi="Arial" w:cs="Arial"/>
                <w:b/>
                <w:color w:val="000000" w:themeColor="text1"/>
              </w:rPr>
              <w:t>Drug</w:t>
            </w:r>
          </w:p>
        </w:tc>
        <w:tc>
          <w:tcPr>
            <w:tcW w:w="4007" w:type="dxa"/>
            <w:tcBorders>
              <w:top w:val="single" w:sz="4" w:space="0" w:color="auto"/>
              <w:left w:val="single" w:sz="4" w:space="0" w:color="auto"/>
              <w:bottom w:val="single" w:sz="4" w:space="0" w:color="auto"/>
              <w:right w:val="single" w:sz="4" w:space="0" w:color="auto"/>
            </w:tcBorders>
            <w:hideMark/>
          </w:tcPr>
          <w:p w14:paraId="761D1F79" w14:textId="77777777" w:rsidR="003D3D88" w:rsidRPr="004B0B02" w:rsidRDefault="003D3D88" w:rsidP="002A720F">
            <w:pPr>
              <w:jc w:val="center"/>
              <w:rPr>
                <w:rFonts w:ascii="Arial" w:hAnsi="Arial" w:cs="Arial"/>
                <w:b/>
                <w:color w:val="000000" w:themeColor="text1"/>
              </w:rPr>
            </w:pPr>
            <w:r w:rsidRPr="004B0B02">
              <w:rPr>
                <w:rFonts w:ascii="Arial" w:hAnsi="Arial" w:cs="Arial"/>
                <w:b/>
                <w:color w:val="000000" w:themeColor="text1"/>
              </w:rPr>
              <w:t>Indication</w:t>
            </w:r>
          </w:p>
        </w:tc>
      </w:tr>
      <w:tr w:rsidR="003D3D88" w:rsidRPr="004B0B02" w14:paraId="2784C10E"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6E96D106"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w:t>
            </w:r>
          </w:p>
        </w:tc>
        <w:tc>
          <w:tcPr>
            <w:tcW w:w="5774" w:type="dxa"/>
            <w:tcBorders>
              <w:top w:val="single" w:sz="4" w:space="0" w:color="auto"/>
              <w:left w:val="single" w:sz="4" w:space="0" w:color="auto"/>
              <w:bottom w:val="single" w:sz="4" w:space="0" w:color="auto"/>
              <w:right w:val="single" w:sz="4" w:space="0" w:color="auto"/>
            </w:tcBorders>
            <w:hideMark/>
          </w:tcPr>
          <w:p w14:paraId="2ADDC1E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Apomorphine injection (APO-go)</w:t>
            </w:r>
          </w:p>
          <w:p w14:paraId="1865668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051C3E0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Parkinson’s disease</w:t>
            </w:r>
          </w:p>
        </w:tc>
      </w:tr>
      <w:tr w:rsidR="003D3D88" w:rsidRPr="004B0B02" w14:paraId="5A42DFAB"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2AEEEB2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w:t>
            </w:r>
          </w:p>
        </w:tc>
        <w:tc>
          <w:tcPr>
            <w:tcW w:w="5774" w:type="dxa"/>
            <w:tcBorders>
              <w:top w:val="single" w:sz="4" w:space="0" w:color="auto"/>
              <w:left w:val="single" w:sz="4" w:space="0" w:color="auto"/>
              <w:bottom w:val="single" w:sz="4" w:space="0" w:color="auto"/>
              <w:right w:val="single" w:sz="4" w:space="0" w:color="auto"/>
            </w:tcBorders>
            <w:hideMark/>
          </w:tcPr>
          <w:p w14:paraId="2ABF684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Atomoxetine capsules</w:t>
            </w:r>
          </w:p>
        </w:tc>
        <w:tc>
          <w:tcPr>
            <w:tcW w:w="4007" w:type="dxa"/>
            <w:tcBorders>
              <w:top w:val="single" w:sz="4" w:space="0" w:color="auto"/>
              <w:left w:val="single" w:sz="4" w:space="0" w:color="auto"/>
              <w:bottom w:val="single" w:sz="4" w:space="0" w:color="auto"/>
              <w:right w:val="single" w:sz="4" w:space="0" w:color="auto"/>
            </w:tcBorders>
            <w:hideMark/>
          </w:tcPr>
          <w:p w14:paraId="0C0FEEA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Attention Deficit Hyperactivity Disorder (ADHD)</w:t>
            </w:r>
          </w:p>
        </w:tc>
      </w:tr>
      <w:tr w:rsidR="003D3D88" w:rsidRPr="004B0B02" w14:paraId="19E5F59B"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28B980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w:t>
            </w:r>
          </w:p>
        </w:tc>
        <w:tc>
          <w:tcPr>
            <w:tcW w:w="5774" w:type="dxa"/>
            <w:tcBorders>
              <w:top w:val="single" w:sz="4" w:space="0" w:color="auto"/>
              <w:left w:val="single" w:sz="4" w:space="0" w:color="auto"/>
              <w:bottom w:val="single" w:sz="4" w:space="0" w:color="auto"/>
              <w:right w:val="single" w:sz="4" w:space="0" w:color="auto"/>
            </w:tcBorders>
            <w:hideMark/>
          </w:tcPr>
          <w:p w14:paraId="50536C5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Azathioprine tablets</w:t>
            </w:r>
          </w:p>
        </w:tc>
        <w:tc>
          <w:tcPr>
            <w:tcW w:w="4007" w:type="dxa"/>
            <w:tcBorders>
              <w:top w:val="single" w:sz="4" w:space="0" w:color="auto"/>
              <w:left w:val="single" w:sz="4" w:space="0" w:color="auto"/>
              <w:bottom w:val="single" w:sz="4" w:space="0" w:color="auto"/>
              <w:right w:val="single" w:sz="4" w:space="0" w:color="auto"/>
            </w:tcBorders>
          </w:tcPr>
          <w:p w14:paraId="2B709A8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Immunosuppressant, </w:t>
            </w:r>
            <w:proofErr w:type="gramStart"/>
            <w:r w:rsidRPr="004B0B02">
              <w:rPr>
                <w:rFonts w:ascii="Arial" w:hAnsi="Arial" w:cs="Arial"/>
                <w:color w:val="000000" w:themeColor="text1"/>
                <w:sz w:val="22"/>
                <w:szCs w:val="22"/>
              </w:rPr>
              <w:t>Dermatology</w:t>
            </w:r>
            <w:proofErr w:type="gramEnd"/>
            <w:r w:rsidRPr="004B0B02">
              <w:rPr>
                <w:rFonts w:ascii="Arial" w:hAnsi="Arial" w:cs="Arial"/>
                <w:color w:val="000000" w:themeColor="text1"/>
                <w:sz w:val="22"/>
                <w:szCs w:val="22"/>
              </w:rPr>
              <w:t xml:space="preserve"> and Inflammatory Bowel Disease.</w:t>
            </w:r>
          </w:p>
        </w:tc>
      </w:tr>
      <w:tr w:rsidR="003D3D88" w:rsidRPr="004B0B02" w14:paraId="3C71C06B"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260C01B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4</w:t>
            </w:r>
          </w:p>
        </w:tc>
        <w:tc>
          <w:tcPr>
            <w:tcW w:w="5774" w:type="dxa"/>
            <w:tcBorders>
              <w:top w:val="single" w:sz="4" w:space="0" w:color="auto"/>
              <w:left w:val="single" w:sz="4" w:space="0" w:color="auto"/>
              <w:bottom w:val="single" w:sz="4" w:space="0" w:color="auto"/>
              <w:right w:val="single" w:sz="4" w:space="0" w:color="auto"/>
            </w:tcBorders>
            <w:hideMark/>
          </w:tcPr>
          <w:p w14:paraId="35ABA5F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Calcium based phosphate binders.</w:t>
            </w:r>
          </w:p>
          <w:p w14:paraId="150B1408"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Calcium acetate- preferred brand in Lincolnshire </w:t>
            </w:r>
            <w:proofErr w:type="spellStart"/>
            <w:r w:rsidRPr="004B0B02">
              <w:rPr>
                <w:rFonts w:ascii="Arial" w:hAnsi="Arial" w:cs="Arial"/>
                <w:color w:val="000000" w:themeColor="text1"/>
                <w:sz w:val="22"/>
                <w:szCs w:val="22"/>
              </w:rPr>
              <w:t>Renacet</w:t>
            </w:r>
            <w:proofErr w:type="spellEnd"/>
            <w:proofErr w:type="gramStart"/>
            <w:r w:rsidRPr="004B0B02">
              <w:rPr>
                <w:rFonts w:ascii="Arial" w:hAnsi="Arial" w:cs="Arial"/>
                <w:color w:val="000000" w:themeColor="text1"/>
                <w:sz w:val="22"/>
                <w:szCs w:val="22"/>
              </w:rPr>
              <w:t>®  (</w:t>
            </w:r>
            <w:proofErr w:type="gramEnd"/>
            <w:r w:rsidRPr="004B0B02">
              <w:rPr>
                <w:rFonts w:ascii="Arial" w:hAnsi="Arial" w:cs="Arial"/>
                <w:color w:val="000000" w:themeColor="text1"/>
                <w:sz w:val="22"/>
                <w:szCs w:val="22"/>
              </w:rPr>
              <w:t xml:space="preserve">other centres may use  </w:t>
            </w:r>
            <w:proofErr w:type="spellStart"/>
            <w:r w:rsidRPr="004B0B02">
              <w:rPr>
                <w:rFonts w:ascii="Arial" w:hAnsi="Arial" w:cs="Arial"/>
                <w:color w:val="000000" w:themeColor="text1"/>
                <w:sz w:val="22"/>
                <w:szCs w:val="22"/>
              </w:rPr>
              <w:t>Phosex</w:t>
            </w:r>
            <w:proofErr w:type="spellEnd"/>
            <w:r w:rsidRPr="004B0B02">
              <w:rPr>
                <w:rFonts w:ascii="Arial" w:hAnsi="Arial" w:cs="Arial"/>
                <w:color w:val="000000" w:themeColor="text1"/>
                <w:sz w:val="22"/>
                <w:szCs w:val="22"/>
              </w:rPr>
              <w:t xml:space="preserve">®, </w:t>
            </w:r>
            <w:proofErr w:type="spellStart"/>
            <w:r w:rsidRPr="004B0B02">
              <w:rPr>
                <w:rFonts w:ascii="Arial" w:hAnsi="Arial" w:cs="Arial"/>
                <w:color w:val="000000" w:themeColor="text1"/>
                <w:sz w:val="22"/>
                <w:szCs w:val="22"/>
              </w:rPr>
              <w:t>PhosLo</w:t>
            </w:r>
            <w:proofErr w:type="spellEnd"/>
            <w:r w:rsidRPr="004B0B02">
              <w:rPr>
                <w:rFonts w:ascii="Arial" w:hAnsi="Arial" w:cs="Arial"/>
                <w:color w:val="000000" w:themeColor="text1"/>
                <w:sz w:val="22"/>
                <w:szCs w:val="22"/>
              </w:rPr>
              <w:t>®</w:t>
            </w:r>
          </w:p>
          <w:p w14:paraId="650C30D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Calcium carbonate– preferred brand in Lincolnshire is </w:t>
            </w:r>
            <w:proofErr w:type="spellStart"/>
            <w:r w:rsidRPr="004B0B02">
              <w:rPr>
                <w:rFonts w:ascii="Arial" w:hAnsi="Arial" w:cs="Arial"/>
                <w:color w:val="000000" w:themeColor="text1"/>
                <w:sz w:val="22"/>
                <w:szCs w:val="22"/>
              </w:rPr>
              <w:t>Adcal</w:t>
            </w:r>
            <w:proofErr w:type="spellEnd"/>
            <w:r w:rsidRPr="004B0B02">
              <w:rPr>
                <w:rFonts w:ascii="Arial" w:hAnsi="Arial" w:cs="Arial"/>
                <w:color w:val="000000" w:themeColor="text1"/>
                <w:sz w:val="22"/>
                <w:szCs w:val="22"/>
              </w:rPr>
              <w:t xml:space="preserve">® </w:t>
            </w:r>
          </w:p>
        </w:tc>
        <w:tc>
          <w:tcPr>
            <w:tcW w:w="4007" w:type="dxa"/>
            <w:tcBorders>
              <w:top w:val="single" w:sz="4" w:space="0" w:color="auto"/>
              <w:left w:val="single" w:sz="4" w:space="0" w:color="auto"/>
              <w:bottom w:val="single" w:sz="4" w:space="0" w:color="auto"/>
              <w:right w:val="single" w:sz="4" w:space="0" w:color="auto"/>
            </w:tcBorders>
            <w:hideMark/>
          </w:tcPr>
          <w:p w14:paraId="1FB9F827"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Hyperphosphataemia</w:t>
            </w:r>
            <w:proofErr w:type="spellEnd"/>
            <w:r w:rsidRPr="004B0B02">
              <w:rPr>
                <w:rFonts w:ascii="Arial" w:hAnsi="Arial" w:cs="Arial"/>
                <w:color w:val="000000" w:themeColor="text1"/>
                <w:sz w:val="22"/>
                <w:szCs w:val="22"/>
              </w:rPr>
              <w:t xml:space="preserve"> associated with renal disease.</w:t>
            </w:r>
          </w:p>
        </w:tc>
      </w:tr>
      <w:tr w:rsidR="003D3D88" w:rsidRPr="004B0B02" w14:paraId="794E08C3"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72EF90F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5</w:t>
            </w:r>
          </w:p>
        </w:tc>
        <w:tc>
          <w:tcPr>
            <w:tcW w:w="5774" w:type="dxa"/>
            <w:tcBorders>
              <w:top w:val="single" w:sz="4" w:space="0" w:color="auto"/>
              <w:left w:val="single" w:sz="4" w:space="0" w:color="auto"/>
              <w:bottom w:val="single" w:sz="4" w:space="0" w:color="auto"/>
              <w:right w:val="single" w:sz="4" w:space="0" w:color="auto"/>
            </w:tcBorders>
            <w:hideMark/>
          </w:tcPr>
          <w:p w14:paraId="6B98B070"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Ciclosporin capsules, oral solution (</w:t>
            </w:r>
            <w:proofErr w:type="spellStart"/>
            <w:r w:rsidRPr="004B0B02">
              <w:rPr>
                <w:rFonts w:ascii="Arial" w:hAnsi="Arial" w:cs="Arial"/>
                <w:color w:val="000000" w:themeColor="text1"/>
                <w:sz w:val="22"/>
                <w:szCs w:val="22"/>
              </w:rPr>
              <w:t>Capimune</w:t>
            </w:r>
            <w:proofErr w:type="spellEnd"/>
            <w:r w:rsidRPr="004B0B02">
              <w:rPr>
                <w:rFonts w:ascii="Arial" w:hAnsi="Arial" w:cs="Arial"/>
                <w:color w:val="000000" w:themeColor="text1"/>
                <w:sz w:val="22"/>
                <w:szCs w:val="22"/>
              </w:rPr>
              <w:t xml:space="preserve">, </w:t>
            </w:r>
            <w:proofErr w:type="spellStart"/>
            <w:r w:rsidRPr="004B0B02">
              <w:rPr>
                <w:rFonts w:ascii="Arial" w:hAnsi="Arial" w:cs="Arial"/>
                <w:color w:val="000000" w:themeColor="text1"/>
                <w:sz w:val="22"/>
                <w:szCs w:val="22"/>
              </w:rPr>
              <w:t>Capsorin</w:t>
            </w:r>
            <w:proofErr w:type="spellEnd"/>
            <w:r w:rsidRPr="004B0B02">
              <w:rPr>
                <w:rFonts w:ascii="Arial" w:hAnsi="Arial" w:cs="Arial"/>
                <w:color w:val="000000" w:themeColor="text1"/>
                <w:sz w:val="22"/>
                <w:szCs w:val="22"/>
              </w:rPr>
              <w:t xml:space="preserve">, </w:t>
            </w:r>
            <w:proofErr w:type="spellStart"/>
            <w:r w:rsidRPr="004B0B02">
              <w:rPr>
                <w:rFonts w:ascii="Arial" w:hAnsi="Arial" w:cs="Arial"/>
                <w:color w:val="000000" w:themeColor="text1"/>
                <w:sz w:val="22"/>
                <w:szCs w:val="22"/>
              </w:rPr>
              <w:t>Deximune</w:t>
            </w:r>
            <w:proofErr w:type="spellEnd"/>
            <w:r w:rsidRPr="004B0B02">
              <w:rPr>
                <w:rFonts w:ascii="Arial" w:hAnsi="Arial" w:cs="Arial"/>
                <w:color w:val="000000" w:themeColor="text1"/>
                <w:sz w:val="22"/>
                <w:szCs w:val="22"/>
              </w:rPr>
              <w:t xml:space="preserve">, </w:t>
            </w:r>
            <w:proofErr w:type="spellStart"/>
            <w:r w:rsidRPr="004B0B02">
              <w:rPr>
                <w:rFonts w:ascii="Arial" w:hAnsi="Arial" w:cs="Arial"/>
                <w:color w:val="000000" w:themeColor="text1"/>
                <w:sz w:val="22"/>
                <w:szCs w:val="22"/>
              </w:rPr>
              <w:t>Neoral</w:t>
            </w:r>
            <w:proofErr w:type="spellEnd"/>
            <w:r w:rsidRPr="004B0B02">
              <w:rPr>
                <w:rFonts w:ascii="Arial" w:hAnsi="Arial" w:cs="Arial"/>
                <w:color w:val="000000" w:themeColor="text1"/>
                <w:sz w:val="22"/>
                <w:szCs w:val="22"/>
              </w:rPr>
              <w:t>)</w:t>
            </w:r>
          </w:p>
          <w:p w14:paraId="5BB5A3C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dermatology indications and for renal transplant patients under the care of ULHT based services.</w:t>
            </w:r>
          </w:p>
          <w:p w14:paraId="6258390B"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6D91469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Immunosuppressant transplant patients also used in dermatology.</w:t>
            </w:r>
          </w:p>
        </w:tc>
      </w:tr>
      <w:tr w:rsidR="003D3D88" w:rsidRPr="004B0B02" w14:paraId="2749B20B"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41B30F0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6</w:t>
            </w:r>
          </w:p>
        </w:tc>
        <w:tc>
          <w:tcPr>
            <w:tcW w:w="5774" w:type="dxa"/>
            <w:tcBorders>
              <w:top w:val="single" w:sz="4" w:space="0" w:color="auto"/>
              <w:left w:val="single" w:sz="4" w:space="0" w:color="auto"/>
              <w:bottom w:val="single" w:sz="4" w:space="0" w:color="auto"/>
              <w:right w:val="single" w:sz="4" w:space="0" w:color="auto"/>
            </w:tcBorders>
            <w:hideMark/>
          </w:tcPr>
          <w:p w14:paraId="0D5593C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Cinacalcet tablets</w:t>
            </w:r>
          </w:p>
        </w:tc>
        <w:tc>
          <w:tcPr>
            <w:tcW w:w="4007" w:type="dxa"/>
            <w:tcBorders>
              <w:top w:val="single" w:sz="4" w:space="0" w:color="auto"/>
              <w:left w:val="single" w:sz="4" w:space="0" w:color="auto"/>
              <w:bottom w:val="single" w:sz="4" w:space="0" w:color="auto"/>
              <w:right w:val="single" w:sz="4" w:space="0" w:color="auto"/>
            </w:tcBorders>
            <w:hideMark/>
          </w:tcPr>
          <w:p w14:paraId="271337A0"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Secondary hyperparathyroidism associated with end stage renal disease requiring dialysis and hypercalcaemia of primary hyperparathyroidism or parathyroid carcinoma.</w:t>
            </w:r>
          </w:p>
        </w:tc>
      </w:tr>
      <w:tr w:rsidR="003D3D88" w:rsidRPr="004B0B02" w14:paraId="295F11DD"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1401D5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7</w:t>
            </w:r>
          </w:p>
        </w:tc>
        <w:tc>
          <w:tcPr>
            <w:tcW w:w="5774" w:type="dxa"/>
            <w:tcBorders>
              <w:top w:val="single" w:sz="4" w:space="0" w:color="auto"/>
              <w:left w:val="single" w:sz="4" w:space="0" w:color="auto"/>
              <w:bottom w:val="single" w:sz="4" w:space="0" w:color="auto"/>
              <w:right w:val="single" w:sz="4" w:space="0" w:color="auto"/>
            </w:tcBorders>
          </w:tcPr>
          <w:p w14:paraId="23B1BE03"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Colomycin</w:t>
            </w:r>
            <w:proofErr w:type="spellEnd"/>
            <w:r w:rsidRPr="004B0B02">
              <w:rPr>
                <w:rFonts w:ascii="Arial" w:hAnsi="Arial" w:cs="Arial"/>
                <w:color w:val="000000" w:themeColor="text1"/>
                <w:sz w:val="22"/>
                <w:szCs w:val="22"/>
              </w:rPr>
              <w:t xml:space="preserve"> nebulised therapy - </w:t>
            </w:r>
            <w:proofErr w:type="spellStart"/>
            <w:r w:rsidRPr="004B0B02">
              <w:rPr>
                <w:rFonts w:ascii="Arial" w:hAnsi="Arial" w:cs="Arial"/>
                <w:color w:val="000000" w:themeColor="text1"/>
                <w:sz w:val="22"/>
                <w:szCs w:val="22"/>
              </w:rPr>
              <w:t>colistimethate</w:t>
            </w:r>
            <w:proofErr w:type="spellEnd"/>
            <w:r w:rsidRPr="004B0B02">
              <w:rPr>
                <w:rFonts w:ascii="Arial" w:hAnsi="Arial" w:cs="Arial"/>
                <w:color w:val="000000" w:themeColor="text1"/>
                <w:sz w:val="22"/>
                <w:szCs w:val="22"/>
              </w:rPr>
              <w:t xml:space="preserve"> sodium (</w:t>
            </w:r>
            <w:proofErr w:type="spellStart"/>
            <w:r w:rsidRPr="004B0B02">
              <w:rPr>
                <w:rFonts w:ascii="Arial" w:hAnsi="Arial" w:cs="Arial"/>
                <w:color w:val="000000" w:themeColor="text1"/>
                <w:sz w:val="22"/>
                <w:szCs w:val="22"/>
              </w:rPr>
              <w:t>Colobreathe</w:t>
            </w:r>
            <w:proofErr w:type="spellEnd"/>
            <w:r w:rsidRPr="004B0B02">
              <w:rPr>
                <w:rFonts w:ascii="Arial" w:hAnsi="Arial" w:cs="Arial"/>
                <w:color w:val="000000" w:themeColor="text1"/>
                <w:sz w:val="22"/>
                <w:szCs w:val="22"/>
              </w:rPr>
              <w:t xml:space="preserve">®, </w:t>
            </w:r>
            <w:proofErr w:type="spellStart"/>
            <w:r w:rsidRPr="004B0B02">
              <w:rPr>
                <w:rFonts w:ascii="Arial" w:hAnsi="Arial" w:cs="Arial"/>
                <w:color w:val="000000" w:themeColor="text1"/>
                <w:sz w:val="22"/>
                <w:szCs w:val="22"/>
              </w:rPr>
              <w:t>Promixin</w:t>
            </w:r>
            <w:proofErr w:type="spellEnd"/>
            <w:r w:rsidRPr="004B0B02">
              <w:rPr>
                <w:rFonts w:ascii="Arial" w:hAnsi="Arial" w:cs="Arial"/>
                <w:color w:val="000000" w:themeColor="text1"/>
                <w:sz w:val="22"/>
                <w:szCs w:val="22"/>
              </w:rPr>
              <w:t>®)</w:t>
            </w:r>
          </w:p>
          <w:p w14:paraId="74D3502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69B6EAE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Adjunct to standard antibacterial therapy in patients with cystic fibrosis</w:t>
            </w:r>
          </w:p>
        </w:tc>
      </w:tr>
      <w:tr w:rsidR="003D3D88" w:rsidRPr="004B0B02" w14:paraId="29FFB1AF"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3F3D129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8</w:t>
            </w:r>
          </w:p>
        </w:tc>
        <w:tc>
          <w:tcPr>
            <w:tcW w:w="5774" w:type="dxa"/>
            <w:tcBorders>
              <w:top w:val="single" w:sz="4" w:space="0" w:color="auto"/>
              <w:left w:val="single" w:sz="4" w:space="0" w:color="auto"/>
              <w:bottom w:val="single" w:sz="4" w:space="0" w:color="auto"/>
              <w:right w:val="single" w:sz="4" w:space="0" w:color="auto"/>
            </w:tcBorders>
            <w:hideMark/>
          </w:tcPr>
          <w:p w14:paraId="25000E3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Denosumab (Prolia®)</w:t>
            </w:r>
          </w:p>
          <w:p w14:paraId="0E2F280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421E932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Postmenopausal osteoporosis</w:t>
            </w:r>
          </w:p>
        </w:tc>
      </w:tr>
      <w:tr w:rsidR="003D3D88" w:rsidRPr="004B0B02" w14:paraId="1150657D"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15045B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9</w:t>
            </w:r>
          </w:p>
        </w:tc>
        <w:tc>
          <w:tcPr>
            <w:tcW w:w="5774" w:type="dxa"/>
            <w:tcBorders>
              <w:top w:val="single" w:sz="4" w:space="0" w:color="auto"/>
              <w:left w:val="single" w:sz="4" w:space="0" w:color="auto"/>
              <w:bottom w:val="single" w:sz="4" w:space="0" w:color="auto"/>
              <w:right w:val="single" w:sz="4" w:space="0" w:color="auto"/>
            </w:tcBorders>
            <w:hideMark/>
          </w:tcPr>
          <w:p w14:paraId="0F904239"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Dexamfetamine</w:t>
            </w:r>
            <w:proofErr w:type="spellEnd"/>
            <w:r w:rsidRPr="004B0B02">
              <w:rPr>
                <w:rFonts w:ascii="Arial" w:hAnsi="Arial" w:cs="Arial"/>
                <w:color w:val="000000" w:themeColor="text1"/>
                <w:sz w:val="22"/>
                <w:szCs w:val="22"/>
              </w:rPr>
              <w:t xml:space="preserve"> tablets</w:t>
            </w:r>
          </w:p>
        </w:tc>
        <w:tc>
          <w:tcPr>
            <w:tcW w:w="4007" w:type="dxa"/>
            <w:tcBorders>
              <w:top w:val="single" w:sz="4" w:space="0" w:color="auto"/>
              <w:left w:val="single" w:sz="4" w:space="0" w:color="auto"/>
              <w:bottom w:val="single" w:sz="4" w:space="0" w:color="auto"/>
              <w:right w:val="single" w:sz="4" w:space="0" w:color="auto"/>
            </w:tcBorders>
          </w:tcPr>
          <w:p w14:paraId="2C49410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3D3D88" w:rsidRPr="004B0B02" w14:paraId="207C538E"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4522BE0"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10</w:t>
            </w:r>
          </w:p>
        </w:tc>
        <w:tc>
          <w:tcPr>
            <w:tcW w:w="5774" w:type="dxa"/>
            <w:tcBorders>
              <w:top w:val="single" w:sz="4" w:space="0" w:color="auto"/>
              <w:left w:val="single" w:sz="4" w:space="0" w:color="auto"/>
              <w:bottom w:val="single" w:sz="4" w:space="0" w:color="auto"/>
              <w:right w:val="single" w:sz="4" w:space="0" w:color="auto"/>
            </w:tcBorders>
            <w:hideMark/>
          </w:tcPr>
          <w:p w14:paraId="6F6A0471"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Donepezil tablets, </w:t>
            </w:r>
            <w:proofErr w:type="spellStart"/>
            <w:r w:rsidRPr="004B0B02">
              <w:rPr>
                <w:rFonts w:ascii="Arial" w:hAnsi="Arial" w:cs="Arial"/>
                <w:color w:val="000000" w:themeColor="text1"/>
                <w:sz w:val="22"/>
                <w:szCs w:val="22"/>
              </w:rPr>
              <w:t>orodispersible</w:t>
            </w:r>
            <w:proofErr w:type="spellEnd"/>
            <w:r w:rsidRPr="004B0B02">
              <w:rPr>
                <w:rFonts w:ascii="Arial" w:hAnsi="Arial" w:cs="Arial"/>
                <w:color w:val="000000" w:themeColor="text1"/>
                <w:sz w:val="22"/>
                <w:szCs w:val="22"/>
              </w:rPr>
              <w:t xml:space="preserve"> tablets, oral solution</w:t>
            </w:r>
          </w:p>
        </w:tc>
        <w:tc>
          <w:tcPr>
            <w:tcW w:w="4007" w:type="dxa"/>
            <w:tcBorders>
              <w:top w:val="single" w:sz="4" w:space="0" w:color="auto"/>
              <w:left w:val="single" w:sz="4" w:space="0" w:color="auto"/>
              <w:bottom w:val="single" w:sz="4" w:space="0" w:color="auto"/>
              <w:right w:val="single" w:sz="4" w:space="0" w:color="auto"/>
            </w:tcBorders>
          </w:tcPr>
          <w:p w14:paraId="51395B9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3D3D88" w:rsidRPr="004B0B02" w14:paraId="5970C317"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C9E26E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11</w:t>
            </w:r>
          </w:p>
        </w:tc>
        <w:tc>
          <w:tcPr>
            <w:tcW w:w="5774" w:type="dxa"/>
            <w:tcBorders>
              <w:top w:val="single" w:sz="4" w:space="0" w:color="auto"/>
              <w:left w:val="single" w:sz="4" w:space="0" w:color="auto"/>
              <w:bottom w:val="single" w:sz="4" w:space="0" w:color="auto"/>
              <w:right w:val="single" w:sz="4" w:space="0" w:color="auto"/>
            </w:tcBorders>
            <w:hideMark/>
          </w:tcPr>
          <w:p w14:paraId="3A486914"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Dornase</w:t>
            </w:r>
            <w:proofErr w:type="spellEnd"/>
            <w:r w:rsidRPr="004B0B02">
              <w:rPr>
                <w:rFonts w:ascii="Arial" w:hAnsi="Arial" w:cs="Arial"/>
                <w:color w:val="000000" w:themeColor="text1"/>
                <w:sz w:val="22"/>
                <w:szCs w:val="22"/>
              </w:rPr>
              <w:t xml:space="preserve"> alfa nebuliser solution Treatment usually initiated by centres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06F3FE5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Cystic Fibrosis</w:t>
            </w:r>
          </w:p>
        </w:tc>
      </w:tr>
      <w:tr w:rsidR="003D3D88" w:rsidRPr="004B0B02" w14:paraId="6666D0B8"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5F93CB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12</w:t>
            </w:r>
          </w:p>
        </w:tc>
        <w:tc>
          <w:tcPr>
            <w:tcW w:w="5774" w:type="dxa"/>
            <w:tcBorders>
              <w:top w:val="single" w:sz="4" w:space="0" w:color="auto"/>
              <w:left w:val="single" w:sz="4" w:space="0" w:color="auto"/>
              <w:bottom w:val="single" w:sz="4" w:space="0" w:color="auto"/>
              <w:right w:val="single" w:sz="4" w:space="0" w:color="auto"/>
            </w:tcBorders>
            <w:hideMark/>
          </w:tcPr>
          <w:p w14:paraId="559C3AB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Dronedarone tablets</w:t>
            </w:r>
          </w:p>
        </w:tc>
        <w:tc>
          <w:tcPr>
            <w:tcW w:w="4007" w:type="dxa"/>
            <w:tcBorders>
              <w:top w:val="single" w:sz="4" w:space="0" w:color="auto"/>
              <w:left w:val="single" w:sz="4" w:space="0" w:color="auto"/>
              <w:bottom w:val="single" w:sz="4" w:space="0" w:color="auto"/>
              <w:right w:val="single" w:sz="4" w:space="0" w:color="auto"/>
            </w:tcBorders>
          </w:tcPr>
          <w:p w14:paraId="658625D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Non-permanent atrial fibrillation</w:t>
            </w:r>
          </w:p>
        </w:tc>
      </w:tr>
      <w:tr w:rsidR="003D3D88" w:rsidRPr="004B0B02" w14:paraId="7391EFAB"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1162095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13</w:t>
            </w:r>
          </w:p>
        </w:tc>
        <w:tc>
          <w:tcPr>
            <w:tcW w:w="5774" w:type="dxa"/>
            <w:tcBorders>
              <w:top w:val="single" w:sz="4" w:space="0" w:color="auto"/>
              <w:left w:val="single" w:sz="4" w:space="0" w:color="auto"/>
              <w:bottom w:val="single" w:sz="4" w:space="0" w:color="auto"/>
              <w:right w:val="single" w:sz="4" w:space="0" w:color="auto"/>
            </w:tcBorders>
            <w:hideMark/>
          </w:tcPr>
          <w:p w14:paraId="790D6163"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Erythropoietins</w:t>
            </w:r>
            <w:proofErr w:type="spellEnd"/>
            <w:r w:rsidRPr="004B0B02">
              <w:rPr>
                <w:rFonts w:ascii="Arial" w:hAnsi="Arial" w:cs="Arial"/>
                <w:color w:val="000000" w:themeColor="text1"/>
                <w:sz w:val="22"/>
                <w:szCs w:val="22"/>
              </w:rPr>
              <w:t xml:space="preserve"> &amp; Epoetin beta (Neo </w:t>
            </w:r>
            <w:proofErr w:type="spellStart"/>
            <w:r w:rsidRPr="004B0B02">
              <w:rPr>
                <w:rFonts w:ascii="Arial" w:hAnsi="Arial" w:cs="Arial"/>
                <w:color w:val="000000" w:themeColor="text1"/>
                <w:sz w:val="22"/>
                <w:szCs w:val="22"/>
              </w:rPr>
              <w:t>Recormon</w:t>
            </w:r>
            <w:proofErr w:type="spellEnd"/>
            <w:r w:rsidRPr="004B0B02">
              <w:rPr>
                <w:rFonts w:ascii="Arial" w:hAnsi="Arial" w:cs="Arial"/>
                <w:color w:val="000000" w:themeColor="text1"/>
                <w:sz w:val="22"/>
                <w:szCs w:val="22"/>
              </w:rPr>
              <w:t>®), Darbepoetin alfa (Aranesp®), Epoetin alfa (</w:t>
            </w:r>
            <w:proofErr w:type="spellStart"/>
            <w:r w:rsidRPr="004B0B02">
              <w:rPr>
                <w:rFonts w:ascii="Arial" w:hAnsi="Arial" w:cs="Arial"/>
                <w:color w:val="000000" w:themeColor="text1"/>
                <w:sz w:val="22"/>
                <w:szCs w:val="22"/>
              </w:rPr>
              <w:t>Eprex</w:t>
            </w:r>
            <w:proofErr w:type="spellEnd"/>
            <w:r w:rsidRPr="004B0B02">
              <w:rPr>
                <w:rFonts w:ascii="Arial" w:hAnsi="Arial" w:cs="Arial"/>
                <w:color w:val="000000" w:themeColor="text1"/>
                <w:sz w:val="22"/>
                <w:szCs w:val="22"/>
              </w:rPr>
              <w:t xml:space="preserve">®) </w:t>
            </w:r>
          </w:p>
          <w:p w14:paraId="115E0CC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601DD56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Subcutaneous administration only.</w:t>
            </w:r>
          </w:p>
        </w:tc>
      </w:tr>
      <w:tr w:rsidR="003D3D88" w:rsidRPr="004B0B02" w14:paraId="281BFA05"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40A465F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14</w:t>
            </w:r>
          </w:p>
        </w:tc>
        <w:tc>
          <w:tcPr>
            <w:tcW w:w="5774" w:type="dxa"/>
            <w:tcBorders>
              <w:top w:val="single" w:sz="4" w:space="0" w:color="auto"/>
              <w:left w:val="single" w:sz="4" w:space="0" w:color="auto"/>
              <w:bottom w:val="single" w:sz="4" w:space="0" w:color="auto"/>
              <w:right w:val="single" w:sz="4" w:space="0" w:color="auto"/>
            </w:tcBorders>
            <w:hideMark/>
          </w:tcPr>
          <w:p w14:paraId="7DE95FE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Galantamine tablets, oral solution, modified release</w:t>
            </w:r>
          </w:p>
        </w:tc>
        <w:tc>
          <w:tcPr>
            <w:tcW w:w="4007" w:type="dxa"/>
            <w:tcBorders>
              <w:top w:val="single" w:sz="4" w:space="0" w:color="auto"/>
              <w:left w:val="single" w:sz="4" w:space="0" w:color="auto"/>
              <w:bottom w:val="single" w:sz="4" w:space="0" w:color="auto"/>
              <w:right w:val="single" w:sz="4" w:space="0" w:color="auto"/>
            </w:tcBorders>
          </w:tcPr>
          <w:p w14:paraId="7D119F5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3D3D88" w:rsidRPr="004B0B02" w14:paraId="28FF1443"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tcPr>
          <w:p w14:paraId="54536B0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15</w:t>
            </w:r>
          </w:p>
        </w:tc>
        <w:tc>
          <w:tcPr>
            <w:tcW w:w="5774" w:type="dxa"/>
            <w:tcBorders>
              <w:top w:val="single" w:sz="4" w:space="0" w:color="auto"/>
              <w:left w:val="single" w:sz="4" w:space="0" w:color="auto"/>
              <w:bottom w:val="single" w:sz="4" w:space="0" w:color="auto"/>
              <w:right w:val="single" w:sz="4" w:space="0" w:color="auto"/>
            </w:tcBorders>
          </w:tcPr>
          <w:p w14:paraId="1F3EDEBD"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Guanafacine</w:t>
            </w:r>
            <w:proofErr w:type="spellEnd"/>
            <w:r w:rsidRPr="004B0B02">
              <w:rPr>
                <w:rFonts w:ascii="Arial" w:hAnsi="Arial" w:cs="Arial"/>
                <w:color w:val="000000" w:themeColor="text1"/>
                <w:sz w:val="22"/>
                <w:szCs w:val="22"/>
              </w:rPr>
              <w:t xml:space="preserve"> tablets</w:t>
            </w:r>
          </w:p>
        </w:tc>
        <w:tc>
          <w:tcPr>
            <w:tcW w:w="4007" w:type="dxa"/>
            <w:tcBorders>
              <w:top w:val="single" w:sz="4" w:space="0" w:color="auto"/>
              <w:left w:val="single" w:sz="4" w:space="0" w:color="auto"/>
              <w:bottom w:val="single" w:sz="4" w:space="0" w:color="auto"/>
              <w:right w:val="single" w:sz="4" w:space="0" w:color="auto"/>
            </w:tcBorders>
          </w:tcPr>
          <w:p w14:paraId="49F3CCA8"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3D3D88" w:rsidRPr="004B0B02" w14:paraId="668372CD"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CB90FE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lastRenderedPageBreak/>
              <w:t>16</w:t>
            </w:r>
          </w:p>
        </w:tc>
        <w:tc>
          <w:tcPr>
            <w:tcW w:w="5774" w:type="dxa"/>
            <w:tcBorders>
              <w:top w:val="single" w:sz="4" w:space="0" w:color="auto"/>
              <w:left w:val="single" w:sz="4" w:space="0" w:color="auto"/>
              <w:bottom w:val="single" w:sz="4" w:space="0" w:color="auto"/>
              <w:right w:val="single" w:sz="4" w:space="0" w:color="auto"/>
            </w:tcBorders>
            <w:hideMark/>
          </w:tcPr>
          <w:p w14:paraId="42A3E84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Hydroxychloroquine tablets</w:t>
            </w:r>
          </w:p>
        </w:tc>
        <w:tc>
          <w:tcPr>
            <w:tcW w:w="4007" w:type="dxa"/>
            <w:tcBorders>
              <w:top w:val="single" w:sz="4" w:space="0" w:color="auto"/>
              <w:left w:val="single" w:sz="4" w:space="0" w:color="auto"/>
              <w:bottom w:val="single" w:sz="4" w:space="0" w:color="auto"/>
              <w:right w:val="single" w:sz="4" w:space="0" w:color="auto"/>
            </w:tcBorders>
          </w:tcPr>
          <w:p w14:paraId="25130A6B"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Rheumatoid arthritis</w:t>
            </w:r>
          </w:p>
        </w:tc>
      </w:tr>
      <w:tr w:rsidR="003D3D88" w:rsidRPr="004B0B02" w14:paraId="0DAFD019"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BD80AB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17</w:t>
            </w:r>
          </w:p>
        </w:tc>
        <w:tc>
          <w:tcPr>
            <w:tcW w:w="5774" w:type="dxa"/>
            <w:tcBorders>
              <w:top w:val="single" w:sz="4" w:space="0" w:color="auto"/>
              <w:left w:val="single" w:sz="4" w:space="0" w:color="auto"/>
              <w:bottom w:val="single" w:sz="4" w:space="0" w:color="auto"/>
              <w:right w:val="single" w:sz="4" w:space="0" w:color="auto"/>
            </w:tcBorders>
          </w:tcPr>
          <w:p w14:paraId="0A1F41E8"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Ketamine oral solution</w:t>
            </w:r>
          </w:p>
        </w:tc>
        <w:tc>
          <w:tcPr>
            <w:tcW w:w="4007" w:type="dxa"/>
            <w:tcBorders>
              <w:top w:val="single" w:sz="4" w:space="0" w:color="auto"/>
              <w:left w:val="single" w:sz="4" w:space="0" w:color="auto"/>
              <w:bottom w:val="single" w:sz="4" w:space="0" w:color="auto"/>
              <w:right w:val="single" w:sz="4" w:space="0" w:color="auto"/>
            </w:tcBorders>
            <w:hideMark/>
          </w:tcPr>
          <w:p w14:paraId="6C3022B1"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Palliative care</w:t>
            </w:r>
          </w:p>
        </w:tc>
      </w:tr>
      <w:tr w:rsidR="003D3D88" w:rsidRPr="004B0B02" w14:paraId="1B404BEC"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2CCF02D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18</w:t>
            </w:r>
          </w:p>
        </w:tc>
        <w:tc>
          <w:tcPr>
            <w:tcW w:w="5774" w:type="dxa"/>
            <w:tcBorders>
              <w:top w:val="single" w:sz="4" w:space="0" w:color="auto"/>
              <w:left w:val="single" w:sz="4" w:space="0" w:color="auto"/>
              <w:bottom w:val="single" w:sz="4" w:space="0" w:color="auto"/>
              <w:right w:val="single" w:sz="4" w:space="0" w:color="auto"/>
            </w:tcBorders>
            <w:hideMark/>
          </w:tcPr>
          <w:p w14:paraId="1CAD791B"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Lanreotide</w:t>
            </w:r>
            <w:proofErr w:type="spellEnd"/>
            <w:r w:rsidRPr="004B0B02">
              <w:rPr>
                <w:rFonts w:ascii="Arial" w:hAnsi="Arial" w:cs="Arial"/>
                <w:color w:val="000000" w:themeColor="text1"/>
                <w:sz w:val="22"/>
                <w:szCs w:val="22"/>
              </w:rPr>
              <w:t xml:space="preserve"> injection</w:t>
            </w:r>
          </w:p>
          <w:p w14:paraId="460BC9B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4D46413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Carcinoid tumours</w:t>
            </w:r>
          </w:p>
        </w:tc>
      </w:tr>
      <w:tr w:rsidR="003D3D88" w:rsidRPr="004B0B02" w14:paraId="5C8E9F8C"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0CAD630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19</w:t>
            </w:r>
          </w:p>
        </w:tc>
        <w:tc>
          <w:tcPr>
            <w:tcW w:w="5774" w:type="dxa"/>
            <w:tcBorders>
              <w:top w:val="single" w:sz="4" w:space="0" w:color="auto"/>
              <w:left w:val="single" w:sz="4" w:space="0" w:color="auto"/>
              <w:bottom w:val="single" w:sz="4" w:space="0" w:color="auto"/>
              <w:right w:val="single" w:sz="4" w:space="0" w:color="auto"/>
            </w:tcBorders>
            <w:hideMark/>
          </w:tcPr>
          <w:p w14:paraId="72BC78D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Lanthanum tablets or sachets</w:t>
            </w:r>
          </w:p>
        </w:tc>
        <w:tc>
          <w:tcPr>
            <w:tcW w:w="4007" w:type="dxa"/>
            <w:tcBorders>
              <w:top w:val="single" w:sz="4" w:space="0" w:color="auto"/>
              <w:left w:val="single" w:sz="4" w:space="0" w:color="auto"/>
              <w:bottom w:val="single" w:sz="4" w:space="0" w:color="auto"/>
              <w:right w:val="single" w:sz="4" w:space="0" w:color="auto"/>
            </w:tcBorders>
            <w:hideMark/>
          </w:tcPr>
          <w:p w14:paraId="437437D4"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Hyperphosphataemia</w:t>
            </w:r>
            <w:proofErr w:type="spellEnd"/>
            <w:r w:rsidRPr="004B0B02">
              <w:rPr>
                <w:rFonts w:ascii="Arial" w:hAnsi="Arial" w:cs="Arial"/>
                <w:color w:val="000000" w:themeColor="text1"/>
                <w:sz w:val="22"/>
                <w:szCs w:val="22"/>
              </w:rPr>
              <w:t xml:space="preserve"> associated with renal disease.</w:t>
            </w:r>
          </w:p>
        </w:tc>
      </w:tr>
      <w:tr w:rsidR="003D3D88" w:rsidRPr="004B0B02" w14:paraId="3946F789"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668BAE66"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20</w:t>
            </w:r>
          </w:p>
        </w:tc>
        <w:tc>
          <w:tcPr>
            <w:tcW w:w="5774" w:type="dxa"/>
            <w:tcBorders>
              <w:top w:val="single" w:sz="4" w:space="0" w:color="auto"/>
              <w:left w:val="single" w:sz="4" w:space="0" w:color="auto"/>
              <w:bottom w:val="single" w:sz="4" w:space="0" w:color="auto"/>
              <w:right w:val="single" w:sz="4" w:space="0" w:color="auto"/>
            </w:tcBorders>
            <w:hideMark/>
          </w:tcPr>
          <w:p w14:paraId="17AE788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Leflunomide tablets</w:t>
            </w:r>
          </w:p>
        </w:tc>
        <w:tc>
          <w:tcPr>
            <w:tcW w:w="4007" w:type="dxa"/>
            <w:tcBorders>
              <w:top w:val="single" w:sz="4" w:space="0" w:color="auto"/>
              <w:left w:val="single" w:sz="4" w:space="0" w:color="auto"/>
              <w:bottom w:val="single" w:sz="4" w:space="0" w:color="auto"/>
              <w:right w:val="single" w:sz="4" w:space="0" w:color="auto"/>
            </w:tcBorders>
          </w:tcPr>
          <w:p w14:paraId="1B52244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Rheumatoid arthritis / psoriatic arthritis</w:t>
            </w:r>
          </w:p>
        </w:tc>
      </w:tr>
      <w:tr w:rsidR="003D3D88" w:rsidRPr="004B0B02" w14:paraId="334467A9"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729315A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21</w:t>
            </w:r>
          </w:p>
        </w:tc>
        <w:tc>
          <w:tcPr>
            <w:tcW w:w="5774" w:type="dxa"/>
            <w:tcBorders>
              <w:top w:val="single" w:sz="4" w:space="0" w:color="auto"/>
              <w:left w:val="single" w:sz="4" w:space="0" w:color="auto"/>
              <w:bottom w:val="single" w:sz="4" w:space="0" w:color="auto"/>
              <w:right w:val="single" w:sz="4" w:space="0" w:color="auto"/>
            </w:tcBorders>
            <w:hideMark/>
          </w:tcPr>
          <w:p w14:paraId="0FB20A60"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Lisdexamfetamine</w:t>
            </w:r>
            <w:proofErr w:type="spellEnd"/>
            <w:r w:rsidRPr="004B0B02">
              <w:rPr>
                <w:rFonts w:ascii="Arial" w:hAnsi="Arial" w:cs="Arial"/>
                <w:color w:val="000000" w:themeColor="text1"/>
                <w:sz w:val="22"/>
                <w:szCs w:val="22"/>
              </w:rPr>
              <w:t xml:space="preserve"> </w:t>
            </w:r>
            <w:proofErr w:type="spellStart"/>
            <w:r w:rsidRPr="004B0B02">
              <w:rPr>
                <w:rFonts w:ascii="Arial" w:hAnsi="Arial" w:cs="Arial"/>
                <w:color w:val="000000" w:themeColor="text1"/>
                <w:sz w:val="22"/>
                <w:szCs w:val="22"/>
              </w:rPr>
              <w:t>mesilate</w:t>
            </w:r>
            <w:proofErr w:type="spellEnd"/>
            <w:r w:rsidRPr="004B0B02">
              <w:rPr>
                <w:rFonts w:ascii="Arial" w:hAnsi="Arial" w:cs="Arial"/>
                <w:color w:val="000000" w:themeColor="text1"/>
                <w:sz w:val="22"/>
                <w:szCs w:val="22"/>
              </w:rPr>
              <w:t xml:space="preserve"> capsules </w:t>
            </w:r>
          </w:p>
        </w:tc>
        <w:tc>
          <w:tcPr>
            <w:tcW w:w="4007" w:type="dxa"/>
            <w:tcBorders>
              <w:top w:val="single" w:sz="4" w:space="0" w:color="auto"/>
              <w:left w:val="single" w:sz="4" w:space="0" w:color="auto"/>
              <w:bottom w:val="single" w:sz="4" w:space="0" w:color="auto"/>
              <w:right w:val="single" w:sz="4" w:space="0" w:color="auto"/>
            </w:tcBorders>
          </w:tcPr>
          <w:p w14:paraId="3C44B79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3D3D88" w:rsidRPr="004B0B02" w14:paraId="738A1B42"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62499AA1"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22</w:t>
            </w:r>
          </w:p>
        </w:tc>
        <w:tc>
          <w:tcPr>
            <w:tcW w:w="5774" w:type="dxa"/>
            <w:tcBorders>
              <w:top w:val="single" w:sz="4" w:space="0" w:color="auto"/>
              <w:left w:val="single" w:sz="4" w:space="0" w:color="auto"/>
              <w:bottom w:val="single" w:sz="4" w:space="0" w:color="auto"/>
              <w:right w:val="single" w:sz="4" w:space="0" w:color="auto"/>
            </w:tcBorders>
            <w:hideMark/>
          </w:tcPr>
          <w:p w14:paraId="3CBE035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Melatonin tablets, </w:t>
            </w:r>
            <w:proofErr w:type="gramStart"/>
            <w:r w:rsidRPr="004B0B02">
              <w:rPr>
                <w:rFonts w:ascii="Arial" w:hAnsi="Arial" w:cs="Arial"/>
                <w:color w:val="000000" w:themeColor="text1"/>
                <w:sz w:val="22"/>
                <w:szCs w:val="22"/>
              </w:rPr>
              <w:t>capsules</w:t>
            </w:r>
            <w:proofErr w:type="gramEnd"/>
            <w:r w:rsidRPr="004B0B02">
              <w:rPr>
                <w:rFonts w:ascii="Arial" w:hAnsi="Arial" w:cs="Arial"/>
                <w:color w:val="000000" w:themeColor="text1"/>
                <w:sz w:val="22"/>
                <w:szCs w:val="22"/>
              </w:rPr>
              <w:t xml:space="preserve"> and oral solution.</w:t>
            </w:r>
          </w:p>
        </w:tc>
        <w:tc>
          <w:tcPr>
            <w:tcW w:w="4007" w:type="dxa"/>
            <w:tcBorders>
              <w:top w:val="single" w:sz="4" w:space="0" w:color="auto"/>
              <w:left w:val="single" w:sz="4" w:space="0" w:color="auto"/>
              <w:bottom w:val="single" w:sz="4" w:space="0" w:color="auto"/>
              <w:right w:val="single" w:sz="4" w:space="0" w:color="auto"/>
            </w:tcBorders>
            <w:hideMark/>
          </w:tcPr>
          <w:p w14:paraId="60929C7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Sleep disorders in children with neuro-developmental disorders.</w:t>
            </w:r>
          </w:p>
        </w:tc>
      </w:tr>
      <w:tr w:rsidR="003D3D88" w:rsidRPr="004B0B02" w14:paraId="2A3035C2"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1444A77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23</w:t>
            </w:r>
          </w:p>
        </w:tc>
        <w:tc>
          <w:tcPr>
            <w:tcW w:w="5774" w:type="dxa"/>
            <w:tcBorders>
              <w:top w:val="single" w:sz="4" w:space="0" w:color="auto"/>
              <w:left w:val="single" w:sz="4" w:space="0" w:color="auto"/>
              <w:bottom w:val="single" w:sz="4" w:space="0" w:color="auto"/>
              <w:right w:val="single" w:sz="4" w:space="0" w:color="auto"/>
            </w:tcBorders>
            <w:hideMark/>
          </w:tcPr>
          <w:p w14:paraId="28DA51A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Memantine tablets and oral solution</w:t>
            </w:r>
          </w:p>
        </w:tc>
        <w:tc>
          <w:tcPr>
            <w:tcW w:w="4007" w:type="dxa"/>
            <w:tcBorders>
              <w:top w:val="single" w:sz="4" w:space="0" w:color="auto"/>
              <w:left w:val="single" w:sz="4" w:space="0" w:color="auto"/>
              <w:bottom w:val="single" w:sz="4" w:space="0" w:color="auto"/>
              <w:right w:val="single" w:sz="4" w:space="0" w:color="auto"/>
            </w:tcBorders>
          </w:tcPr>
          <w:p w14:paraId="5A7A8AEB"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3D3D88" w:rsidRPr="004B0B02" w14:paraId="6965727A"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168B2BE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24</w:t>
            </w:r>
          </w:p>
        </w:tc>
        <w:tc>
          <w:tcPr>
            <w:tcW w:w="5774" w:type="dxa"/>
            <w:tcBorders>
              <w:top w:val="single" w:sz="4" w:space="0" w:color="auto"/>
              <w:left w:val="single" w:sz="4" w:space="0" w:color="auto"/>
              <w:bottom w:val="single" w:sz="4" w:space="0" w:color="auto"/>
              <w:right w:val="single" w:sz="4" w:space="0" w:color="auto"/>
            </w:tcBorders>
            <w:hideMark/>
          </w:tcPr>
          <w:p w14:paraId="741FB08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Mercaptopurine tablets</w:t>
            </w:r>
          </w:p>
        </w:tc>
        <w:tc>
          <w:tcPr>
            <w:tcW w:w="4007" w:type="dxa"/>
            <w:tcBorders>
              <w:top w:val="single" w:sz="4" w:space="0" w:color="auto"/>
              <w:left w:val="single" w:sz="4" w:space="0" w:color="auto"/>
              <w:bottom w:val="single" w:sz="4" w:space="0" w:color="auto"/>
              <w:right w:val="single" w:sz="4" w:space="0" w:color="auto"/>
            </w:tcBorders>
          </w:tcPr>
          <w:p w14:paraId="7EC5128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Inflammatory bowel disease</w:t>
            </w:r>
          </w:p>
        </w:tc>
      </w:tr>
      <w:tr w:rsidR="003D3D88" w:rsidRPr="004B0B02" w14:paraId="4640CD32"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73E5A8A1"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25</w:t>
            </w:r>
          </w:p>
        </w:tc>
        <w:tc>
          <w:tcPr>
            <w:tcW w:w="5774" w:type="dxa"/>
            <w:tcBorders>
              <w:top w:val="single" w:sz="4" w:space="0" w:color="auto"/>
              <w:left w:val="single" w:sz="4" w:space="0" w:color="auto"/>
              <w:bottom w:val="single" w:sz="4" w:space="0" w:color="auto"/>
              <w:right w:val="single" w:sz="4" w:space="0" w:color="auto"/>
            </w:tcBorders>
            <w:hideMark/>
          </w:tcPr>
          <w:p w14:paraId="4C83216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Methotrexate tablets</w:t>
            </w:r>
          </w:p>
        </w:tc>
        <w:tc>
          <w:tcPr>
            <w:tcW w:w="4007" w:type="dxa"/>
            <w:tcBorders>
              <w:top w:val="single" w:sz="4" w:space="0" w:color="auto"/>
              <w:left w:val="single" w:sz="4" w:space="0" w:color="auto"/>
              <w:bottom w:val="single" w:sz="4" w:space="0" w:color="auto"/>
              <w:right w:val="single" w:sz="4" w:space="0" w:color="auto"/>
            </w:tcBorders>
          </w:tcPr>
          <w:p w14:paraId="5DA60CA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Rheumatology/dermatology/respiratory</w:t>
            </w:r>
          </w:p>
        </w:tc>
      </w:tr>
      <w:tr w:rsidR="003D3D88" w:rsidRPr="004B0B02" w14:paraId="5396885C"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3F0CBF2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26</w:t>
            </w:r>
          </w:p>
        </w:tc>
        <w:tc>
          <w:tcPr>
            <w:tcW w:w="5774" w:type="dxa"/>
            <w:tcBorders>
              <w:top w:val="single" w:sz="4" w:space="0" w:color="auto"/>
              <w:left w:val="single" w:sz="4" w:space="0" w:color="auto"/>
              <w:bottom w:val="single" w:sz="4" w:space="0" w:color="auto"/>
              <w:right w:val="single" w:sz="4" w:space="0" w:color="auto"/>
            </w:tcBorders>
          </w:tcPr>
          <w:p w14:paraId="670EC3D0"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Methylphenidate (generic or modified release oral formulations)</w:t>
            </w:r>
          </w:p>
        </w:tc>
        <w:tc>
          <w:tcPr>
            <w:tcW w:w="4007" w:type="dxa"/>
            <w:tcBorders>
              <w:top w:val="single" w:sz="4" w:space="0" w:color="auto"/>
              <w:left w:val="single" w:sz="4" w:space="0" w:color="auto"/>
              <w:bottom w:val="single" w:sz="4" w:space="0" w:color="auto"/>
              <w:right w:val="single" w:sz="4" w:space="0" w:color="auto"/>
            </w:tcBorders>
            <w:hideMark/>
          </w:tcPr>
          <w:p w14:paraId="3C7AF1A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ADHD</w:t>
            </w:r>
          </w:p>
        </w:tc>
      </w:tr>
      <w:tr w:rsidR="003D3D88" w:rsidRPr="004B0B02" w14:paraId="31EBE105"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0FA1DB1"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27</w:t>
            </w:r>
          </w:p>
        </w:tc>
        <w:tc>
          <w:tcPr>
            <w:tcW w:w="5774" w:type="dxa"/>
            <w:tcBorders>
              <w:top w:val="single" w:sz="4" w:space="0" w:color="auto"/>
              <w:left w:val="single" w:sz="4" w:space="0" w:color="auto"/>
              <w:bottom w:val="single" w:sz="4" w:space="0" w:color="auto"/>
              <w:right w:val="single" w:sz="4" w:space="0" w:color="auto"/>
            </w:tcBorders>
          </w:tcPr>
          <w:p w14:paraId="2651FB3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Mycophenolate mofetil</w:t>
            </w:r>
          </w:p>
          <w:p w14:paraId="321E9C9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5B69DDC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076E6A2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3D3D88" w:rsidRPr="004B0B02" w14:paraId="653FE128"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412437C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28</w:t>
            </w:r>
          </w:p>
        </w:tc>
        <w:tc>
          <w:tcPr>
            <w:tcW w:w="5774" w:type="dxa"/>
            <w:tcBorders>
              <w:top w:val="single" w:sz="4" w:space="0" w:color="auto"/>
              <w:left w:val="single" w:sz="4" w:space="0" w:color="auto"/>
              <w:bottom w:val="single" w:sz="4" w:space="0" w:color="auto"/>
              <w:right w:val="single" w:sz="4" w:space="0" w:color="auto"/>
            </w:tcBorders>
          </w:tcPr>
          <w:p w14:paraId="257CF1F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Mycophenolic acid (</w:t>
            </w:r>
            <w:proofErr w:type="spellStart"/>
            <w:r w:rsidRPr="004B0B02">
              <w:rPr>
                <w:rFonts w:ascii="Arial" w:hAnsi="Arial" w:cs="Arial"/>
                <w:color w:val="000000" w:themeColor="text1"/>
                <w:sz w:val="22"/>
                <w:szCs w:val="22"/>
              </w:rPr>
              <w:t>Myfortic</w:t>
            </w:r>
            <w:proofErr w:type="spellEnd"/>
            <w:r w:rsidRPr="004B0B02">
              <w:rPr>
                <w:rFonts w:ascii="Arial" w:hAnsi="Arial" w:cs="Arial"/>
                <w:color w:val="000000" w:themeColor="text1"/>
                <w:sz w:val="22"/>
                <w:szCs w:val="22"/>
              </w:rPr>
              <w:t>®)</w:t>
            </w:r>
          </w:p>
          <w:p w14:paraId="455C33D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7D3D195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2C0209D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3D3D88" w:rsidRPr="004B0B02" w14:paraId="504F521E"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5EAD9EE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29</w:t>
            </w:r>
          </w:p>
        </w:tc>
        <w:tc>
          <w:tcPr>
            <w:tcW w:w="5774" w:type="dxa"/>
            <w:tcBorders>
              <w:top w:val="single" w:sz="4" w:space="0" w:color="auto"/>
              <w:left w:val="single" w:sz="4" w:space="0" w:color="auto"/>
              <w:bottom w:val="single" w:sz="4" w:space="0" w:color="auto"/>
              <w:right w:val="single" w:sz="4" w:space="0" w:color="auto"/>
            </w:tcBorders>
            <w:hideMark/>
          </w:tcPr>
          <w:p w14:paraId="45B53EC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Nabilone capsules</w:t>
            </w:r>
          </w:p>
          <w:p w14:paraId="55357F9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006C2836"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Neuropathic pain</w:t>
            </w:r>
          </w:p>
        </w:tc>
      </w:tr>
      <w:tr w:rsidR="003D3D88" w:rsidRPr="004B0B02" w14:paraId="558C0B76"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0E0E331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30</w:t>
            </w:r>
          </w:p>
        </w:tc>
        <w:tc>
          <w:tcPr>
            <w:tcW w:w="5774" w:type="dxa"/>
            <w:tcBorders>
              <w:top w:val="single" w:sz="4" w:space="0" w:color="auto"/>
              <w:left w:val="single" w:sz="4" w:space="0" w:color="auto"/>
              <w:bottom w:val="single" w:sz="4" w:space="0" w:color="auto"/>
              <w:right w:val="single" w:sz="4" w:space="0" w:color="auto"/>
            </w:tcBorders>
            <w:hideMark/>
          </w:tcPr>
          <w:p w14:paraId="51CA2D9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Octreotide injection</w:t>
            </w:r>
          </w:p>
          <w:p w14:paraId="544454A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Treatment usually initiated by centre outside of Lincolnshire. Shared </w:t>
            </w:r>
            <w:proofErr w:type="gramStart"/>
            <w:r w:rsidRPr="004B0B02">
              <w:rPr>
                <w:rFonts w:ascii="Arial" w:hAnsi="Arial" w:cs="Arial"/>
                <w:color w:val="000000" w:themeColor="text1"/>
                <w:sz w:val="22"/>
                <w:szCs w:val="22"/>
              </w:rPr>
              <w:t>care  protocols</w:t>
            </w:r>
            <w:proofErr w:type="gramEnd"/>
            <w:r w:rsidRPr="004B0B02">
              <w:rPr>
                <w:rFonts w:ascii="Arial" w:hAnsi="Arial" w:cs="Arial"/>
                <w:color w:val="000000" w:themeColor="text1"/>
                <w:sz w:val="22"/>
                <w:szCs w:val="22"/>
              </w:rPr>
              <w:t xml:space="preserve">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5C7026C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Symptomatic relief malignant obstruction/ acromegaly.</w:t>
            </w:r>
          </w:p>
        </w:tc>
      </w:tr>
      <w:tr w:rsidR="003D3D88" w:rsidRPr="004B0B02" w14:paraId="2935F9D2"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78A09B0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31</w:t>
            </w:r>
          </w:p>
        </w:tc>
        <w:tc>
          <w:tcPr>
            <w:tcW w:w="5774" w:type="dxa"/>
            <w:tcBorders>
              <w:top w:val="single" w:sz="4" w:space="0" w:color="auto"/>
              <w:left w:val="single" w:sz="4" w:space="0" w:color="auto"/>
              <w:bottom w:val="single" w:sz="4" w:space="0" w:color="auto"/>
              <w:right w:val="single" w:sz="4" w:space="0" w:color="auto"/>
            </w:tcBorders>
          </w:tcPr>
          <w:p w14:paraId="44689B0F"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Riluzole</w:t>
            </w:r>
            <w:proofErr w:type="spellEnd"/>
            <w:r w:rsidRPr="004B0B02">
              <w:rPr>
                <w:rFonts w:ascii="Arial" w:hAnsi="Arial" w:cs="Arial"/>
                <w:color w:val="000000" w:themeColor="text1"/>
                <w:sz w:val="22"/>
                <w:szCs w:val="22"/>
              </w:rPr>
              <w:t xml:space="preserve"> (generic, </w:t>
            </w:r>
            <w:proofErr w:type="spellStart"/>
            <w:r w:rsidRPr="004B0B02">
              <w:rPr>
                <w:rFonts w:ascii="Arial" w:hAnsi="Arial" w:cs="Arial"/>
                <w:color w:val="000000" w:themeColor="text1"/>
                <w:sz w:val="22"/>
                <w:szCs w:val="22"/>
              </w:rPr>
              <w:t>Rilutek</w:t>
            </w:r>
            <w:proofErr w:type="spellEnd"/>
            <w:r w:rsidRPr="004B0B02">
              <w:rPr>
                <w:rFonts w:ascii="Arial" w:hAnsi="Arial" w:cs="Arial"/>
                <w:color w:val="000000" w:themeColor="text1"/>
                <w:sz w:val="22"/>
                <w:szCs w:val="22"/>
              </w:rPr>
              <w:t>)</w:t>
            </w:r>
          </w:p>
          <w:p w14:paraId="7C1172C6"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446D1E7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Motor neurone disease</w:t>
            </w:r>
          </w:p>
        </w:tc>
      </w:tr>
      <w:tr w:rsidR="003D3D88" w:rsidRPr="004B0B02" w14:paraId="714F1BD5"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16BDB12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32</w:t>
            </w:r>
          </w:p>
        </w:tc>
        <w:tc>
          <w:tcPr>
            <w:tcW w:w="5774" w:type="dxa"/>
            <w:tcBorders>
              <w:top w:val="single" w:sz="4" w:space="0" w:color="auto"/>
              <w:left w:val="single" w:sz="4" w:space="0" w:color="auto"/>
              <w:bottom w:val="single" w:sz="4" w:space="0" w:color="auto"/>
              <w:right w:val="single" w:sz="4" w:space="0" w:color="auto"/>
            </w:tcBorders>
            <w:hideMark/>
          </w:tcPr>
          <w:p w14:paraId="0642D48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Rivastigmine capsules, oral solution, patches</w:t>
            </w:r>
          </w:p>
        </w:tc>
        <w:tc>
          <w:tcPr>
            <w:tcW w:w="4007" w:type="dxa"/>
            <w:tcBorders>
              <w:top w:val="single" w:sz="4" w:space="0" w:color="auto"/>
              <w:left w:val="single" w:sz="4" w:space="0" w:color="auto"/>
              <w:bottom w:val="single" w:sz="4" w:space="0" w:color="auto"/>
              <w:right w:val="single" w:sz="4" w:space="0" w:color="auto"/>
            </w:tcBorders>
          </w:tcPr>
          <w:p w14:paraId="4CE110D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Alzheimer’s disease</w:t>
            </w:r>
          </w:p>
        </w:tc>
      </w:tr>
      <w:tr w:rsidR="003D3D88" w:rsidRPr="004B0B02" w14:paraId="3C99EE1E"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02EBA88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33</w:t>
            </w:r>
          </w:p>
        </w:tc>
        <w:tc>
          <w:tcPr>
            <w:tcW w:w="5774" w:type="dxa"/>
            <w:tcBorders>
              <w:top w:val="single" w:sz="4" w:space="0" w:color="auto"/>
              <w:left w:val="single" w:sz="4" w:space="0" w:color="auto"/>
              <w:bottom w:val="single" w:sz="4" w:space="0" w:color="auto"/>
              <w:right w:val="single" w:sz="4" w:space="0" w:color="auto"/>
            </w:tcBorders>
            <w:hideMark/>
          </w:tcPr>
          <w:p w14:paraId="25ACF71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Sevelamer carbonate (</w:t>
            </w:r>
            <w:proofErr w:type="spellStart"/>
            <w:r w:rsidRPr="004B0B02">
              <w:rPr>
                <w:rFonts w:ascii="Arial" w:hAnsi="Arial" w:cs="Arial"/>
                <w:color w:val="000000" w:themeColor="text1"/>
                <w:sz w:val="22"/>
                <w:szCs w:val="22"/>
              </w:rPr>
              <w:t>Renvela</w:t>
            </w:r>
            <w:proofErr w:type="spellEnd"/>
            <w:r w:rsidRPr="004B0B02">
              <w:rPr>
                <w:rFonts w:ascii="Arial" w:hAnsi="Arial" w:cs="Arial"/>
                <w:color w:val="000000" w:themeColor="text1"/>
                <w:sz w:val="22"/>
                <w:szCs w:val="22"/>
              </w:rPr>
              <w:t>®)</w:t>
            </w:r>
          </w:p>
          <w:p w14:paraId="77911CF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Sevelamer hydrochloride (</w:t>
            </w:r>
            <w:proofErr w:type="spellStart"/>
            <w:r w:rsidRPr="004B0B02">
              <w:rPr>
                <w:rFonts w:ascii="Arial" w:hAnsi="Arial" w:cs="Arial"/>
                <w:color w:val="000000" w:themeColor="text1"/>
                <w:sz w:val="22"/>
                <w:szCs w:val="22"/>
              </w:rPr>
              <w:t>Renagel</w:t>
            </w:r>
            <w:proofErr w:type="spellEnd"/>
            <w:r w:rsidRPr="004B0B02">
              <w:rPr>
                <w:rFonts w:ascii="Arial" w:hAnsi="Arial" w:cs="Arial"/>
                <w:color w:val="000000" w:themeColor="text1"/>
                <w:sz w:val="22"/>
                <w:szCs w:val="22"/>
              </w:rPr>
              <w:t>®)</w:t>
            </w:r>
          </w:p>
        </w:tc>
        <w:tc>
          <w:tcPr>
            <w:tcW w:w="4007" w:type="dxa"/>
            <w:tcBorders>
              <w:top w:val="single" w:sz="4" w:space="0" w:color="auto"/>
              <w:left w:val="single" w:sz="4" w:space="0" w:color="auto"/>
              <w:bottom w:val="single" w:sz="4" w:space="0" w:color="auto"/>
              <w:right w:val="single" w:sz="4" w:space="0" w:color="auto"/>
            </w:tcBorders>
            <w:hideMark/>
          </w:tcPr>
          <w:p w14:paraId="1510B26E" w14:textId="77777777" w:rsidR="003D3D88" w:rsidRPr="004B0B02" w:rsidRDefault="003D3D88" w:rsidP="002A720F">
            <w:pPr>
              <w:rPr>
                <w:rFonts w:ascii="Arial" w:hAnsi="Arial" w:cs="Arial"/>
                <w:color w:val="000000" w:themeColor="text1"/>
                <w:sz w:val="22"/>
                <w:szCs w:val="22"/>
              </w:rPr>
            </w:pPr>
            <w:proofErr w:type="spellStart"/>
            <w:r w:rsidRPr="004B0B02">
              <w:rPr>
                <w:rFonts w:ascii="Arial" w:hAnsi="Arial" w:cs="Arial"/>
                <w:color w:val="000000" w:themeColor="text1"/>
                <w:sz w:val="22"/>
                <w:szCs w:val="22"/>
              </w:rPr>
              <w:t>Hyperphosphataemia</w:t>
            </w:r>
            <w:proofErr w:type="spellEnd"/>
            <w:r w:rsidRPr="004B0B02">
              <w:rPr>
                <w:rFonts w:ascii="Arial" w:hAnsi="Arial" w:cs="Arial"/>
                <w:color w:val="000000" w:themeColor="text1"/>
                <w:sz w:val="22"/>
                <w:szCs w:val="22"/>
              </w:rPr>
              <w:t xml:space="preserve"> associated with renal disease</w:t>
            </w:r>
          </w:p>
        </w:tc>
      </w:tr>
      <w:tr w:rsidR="003D3D88" w:rsidRPr="004B0B02" w14:paraId="045FBF05"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7850CBA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34</w:t>
            </w:r>
          </w:p>
        </w:tc>
        <w:tc>
          <w:tcPr>
            <w:tcW w:w="5774" w:type="dxa"/>
            <w:tcBorders>
              <w:top w:val="single" w:sz="4" w:space="0" w:color="auto"/>
              <w:left w:val="single" w:sz="4" w:space="0" w:color="auto"/>
              <w:bottom w:val="single" w:sz="4" w:space="0" w:color="auto"/>
              <w:right w:val="single" w:sz="4" w:space="0" w:color="auto"/>
            </w:tcBorders>
            <w:hideMark/>
          </w:tcPr>
          <w:p w14:paraId="4EA21FA2"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Sirolimus tablets or oral solution (</w:t>
            </w:r>
            <w:proofErr w:type="spellStart"/>
            <w:r w:rsidRPr="004B0B02">
              <w:rPr>
                <w:rFonts w:ascii="Arial" w:hAnsi="Arial" w:cs="Arial"/>
                <w:color w:val="000000" w:themeColor="text1"/>
                <w:sz w:val="22"/>
                <w:szCs w:val="22"/>
              </w:rPr>
              <w:t>Rapamune</w:t>
            </w:r>
            <w:proofErr w:type="spellEnd"/>
            <w:r w:rsidRPr="004B0B02">
              <w:rPr>
                <w:rFonts w:ascii="Arial" w:hAnsi="Arial" w:cs="Arial"/>
                <w:color w:val="000000" w:themeColor="text1"/>
                <w:sz w:val="22"/>
                <w:szCs w:val="22"/>
              </w:rPr>
              <w:t>®)</w:t>
            </w:r>
          </w:p>
          <w:p w14:paraId="3CA472D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0BD5F4D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2A1F0DC3"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3D3D88" w:rsidRPr="004B0B02" w14:paraId="166121E8"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682FD9BD"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35</w:t>
            </w:r>
          </w:p>
        </w:tc>
        <w:tc>
          <w:tcPr>
            <w:tcW w:w="5774" w:type="dxa"/>
            <w:tcBorders>
              <w:top w:val="single" w:sz="4" w:space="0" w:color="auto"/>
              <w:left w:val="single" w:sz="4" w:space="0" w:color="auto"/>
              <w:bottom w:val="single" w:sz="4" w:space="0" w:color="auto"/>
              <w:right w:val="single" w:sz="4" w:space="0" w:color="auto"/>
            </w:tcBorders>
            <w:hideMark/>
          </w:tcPr>
          <w:p w14:paraId="0EC106F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Somatropin injection – Growth Hormone</w:t>
            </w:r>
          </w:p>
          <w:p w14:paraId="1E3533B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Treatment usually initiated by centre outside of Lincolnshire. Shared care protocols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7A0E6C64"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Synthetic Growth Hormone – protocols cover use in both children and adults.</w:t>
            </w:r>
          </w:p>
        </w:tc>
      </w:tr>
      <w:tr w:rsidR="003D3D88" w:rsidRPr="004B0B02" w14:paraId="4A006C92"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275E7236"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lastRenderedPageBreak/>
              <w:t>36</w:t>
            </w:r>
          </w:p>
        </w:tc>
        <w:tc>
          <w:tcPr>
            <w:tcW w:w="5774" w:type="dxa"/>
            <w:tcBorders>
              <w:top w:val="single" w:sz="4" w:space="0" w:color="auto"/>
              <w:left w:val="single" w:sz="4" w:space="0" w:color="auto"/>
              <w:bottom w:val="single" w:sz="4" w:space="0" w:color="auto"/>
              <w:right w:val="single" w:sz="4" w:space="0" w:color="auto"/>
            </w:tcBorders>
            <w:hideMark/>
          </w:tcPr>
          <w:p w14:paraId="6D504C8B"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Sulfasalazine tablets</w:t>
            </w:r>
          </w:p>
        </w:tc>
        <w:tc>
          <w:tcPr>
            <w:tcW w:w="4007" w:type="dxa"/>
            <w:tcBorders>
              <w:top w:val="single" w:sz="4" w:space="0" w:color="auto"/>
              <w:left w:val="single" w:sz="4" w:space="0" w:color="auto"/>
              <w:bottom w:val="single" w:sz="4" w:space="0" w:color="auto"/>
              <w:right w:val="single" w:sz="4" w:space="0" w:color="auto"/>
            </w:tcBorders>
            <w:hideMark/>
          </w:tcPr>
          <w:p w14:paraId="3C9562E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Rheumatoid arthritis – shared care protocol and inflammatory bowel disease (prescribing guidance)</w:t>
            </w:r>
          </w:p>
        </w:tc>
      </w:tr>
      <w:tr w:rsidR="003D3D88" w:rsidRPr="004B0B02" w14:paraId="7C4A1F64"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0D51F46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37</w:t>
            </w:r>
          </w:p>
        </w:tc>
        <w:tc>
          <w:tcPr>
            <w:tcW w:w="5774" w:type="dxa"/>
            <w:tcBorders>
              <w:top w:val="single" w:sz="4" w:space="0" w:color="auto"/>
              <w:left w:val="single" w:sz="4" w:space="0" w:color="auto"/>
              <w:bottom w:val="single" w:sz="4" w:space="0" w:color="auto"/>
              <w:right w:val="single" w:sz="4" w:space="0" w:color="auto"/>
            </w:tcBorders>
            <w:hideMark/>
          </w:tcPr>
          <w:p w14:paraId="1C1A0BA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Tacrolimus capsules (</w:t>
            </w:r>
            <w:proofErr w:type="spellStart"/>
            <w:r w:rsidRPr="004B0B02">
              <w:rPr>
                <w:rFonts w:ascii="Arial" w:hAnsi="Arial" w:cs="Arial"/>
                <w:color w:val="000000" w:themeColor="text1"/>
                <w:sz w:val="22"/>
                <w:szCs w:val="22"/>
              </w:rPr>
              <w:t>Adoport</w:t>
            </w:r>
            <w:proofErr w:type="spellEnd"/>
            <w:r w:rsidRPr="004B0B02">
              <w:rPr>
                <w:rFonts w:ascii="Arial" w:hAnsi="Arial" w:cs="Arial"/>
                <w:color w:val="000000" w:themeColor="text1"/>
                <w:sz w:val="22"/>
                <w:szCs w:val="22"/>
              </w:rPr>
              <w:t xml:space="preserve">® or </w:t>
            </w:r>
            <w:proofErr w:type="spellStart"/>
            <w:r w:rsidRPr="004B0B02">
              <w:rPr>
                <w:rFonts w:ascii="Arial" w:hAnsi="Arial" w:cs="Arial"/>
                <w:color w:val="000000" w:themeColor="text1"/>
                <w:sz w:val="22"/>
                <w:szCs w:val="22"/>
              </w:rPr>
              <w:t>Prograf</w:t>
            </w:r>
            <w:proofErr w:type="spellEnd"/>
            <w:r w:rsidRPr="004B0B02">
              <w:rPr>
                <w:rFonts w:ascii="Arial" w:hAnsi="Arial" w:cs="Arial"/>
                <w:color w:val="000000" w:themeColor="text1"/>
                <w:sz w:val="22"/>
                <w:szCs w:val="22"/>
              </w:rPr>
              <w:t>®)</w:t>
            </w:r>
          </w:p>
          <w:p w14:paraId="2E3EDA25"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 xml:space="preserve">Lincolnshire protocol covers use for renal patients under </w:t>
            </w:r>
            <w:proofErr w:type="gramStart"/>
            <w:r w:rsidRPr="004B0B02">
              <w:rPr>
                <w:rFonts w:ascii="Arial" w:hAnsi="Arial" w:cs="Arial"/>
                <w:color w:val="000000" w:themeColor="text1"/>
                <w:sz w:val="22"/>
                <w:szCs w:val="22"/>
              </w:rPr>
              <w:t>care  of</w:t>
            </w:r>
            <w:proofErr w:type="gramEnd"/>
            <w:r w:rsidRPr="004B0B02">
              <w:rPr>
                <w:rFonts w:ascii="Arial" w:hAnsi="Arial" w:cs="Arial"/>
                <w:color w:val="000000" w:themeColor="text1"/>
                <w:sz w:val="22"/>
                <w:szCs w:val="22"/>
              </w:rPr>
              <w:t xml:space="preserve"> ULHT.</w:t>
            </w:r>
          </w:p>
          <w:p w14:paraId="3C437F4E"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tcPr>
          <w:p w14:paraId="0477A03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3D3D88" w:rsidRPr="004B0B02" w14:paraId="381A6967"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42A32F1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38</w:t>
            </w:r>
          </w:p>
        </w:tc>
        <w:tc>
          <w:tcPr>
            <w:tcW w:w="5774" w:type="dxa"/>
            <w:tcBorders>
              <w:top w:val="single" w:sz="4" w:space="0" w:color="auto"/>
              <w:left w:val="single" w:sz="4" w:space="0" w:color="auto"/>
              <w:bottom w:val="single" w:sz="4" w:space="0" w:color="auto"/>
              <w:right w:val="single" w:sz="4" w:space="0" w:color="auto"/>
            </w:tcBorders>
          </w:tcPr>
          <w:p w14:paraId="0953926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Tacrolimus modified-release capsules (</w:t>
            </w:r>
            <w:proofErr w:type="spellStart"/>
            <w:r w:rsidRPr="004B0B02">
              <w:rPr>
                <w:rFonts w:ascii="Arial" w:hAnsi="Arial" w:cs="Arial"/>
                <w:color w:val="000000" w:themeColor="text1"/>
                <w:sz w:val="22"/>
                <w:szCs w:val="22"/>
              </w:rPr>
              <w:t>Advagraf</w:t>
            </w:r>
            <w:proofErr w:type="spellEnd"/>
            <w:r w:rsidRPr="004B0B02">
              <w:rPr>
                <w:rFonts w:ascii="Arial" w:hAnsi="Arial" w:cs="Arial"/>
                <w:color w:val="000000" w:themeColor="text1"/>
                <w:sz w:val="22"/>
                <w:szCs w:val="22"/>
              </w:rPr>
              <w:t xml:space="preserve">® or </w:t>
            </w:r>
            <w:proofErr w:type="spellStart"/>
            <w:r w:rsidRPr="004B0B02">
              <w:rPr>
                <w:rFonts w:ascii="Arial" w:hAnsi="Arial" w:cs="Arial"/>
                <w:color w:val="000000" w:themeColor="text1"/>
                <w:sz w:val="22"/>
                <w:szCs w:val="22"/>
              </w:rPr>
              <w:t>Envarsus</w:t>
            </w:r>
            <w:proofErr w:type="spellEnd"/>
            <w:r w:rsidRPr="004B0B02">
              <w:rPr>
                <w:rFonts w:ascii="Arial" w:hAnsi="Arial" w:cs="Arial"/>
                <w:color w:val="000000" w:themeColor="text1"/>
                <w:sz w:val="22"/>
                <w:szCs w:val="22"/>
              </w:rPr>
              <w:t>®)</w:t>
            </w:r>
          </w:p>
          <w:p w14:paraId="66244099"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Lincolnshire protocol covers use for renal patients under care of ULHT.</w:t>
            </w:r>
          </w:p>
          <w:p w14:paraId="17CF1CD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For all other indications 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7F92A6EA"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Immunosuppressant (post-transplant)</w:t>
            </w:r>
          </w:p>
        </w:tc>
      </w:tr>
      <w:tr w:rsidR="003D3D88" w:rsidRPr="004B0B02" w14:paraId="155A24A5"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hideMark/>
          </w:tcPr>
          <w:p w14:paraId="684A5AC6"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39</w:t>
            </w:r>
          </w:p>
        </w:tc>
        <w:tc>
          <w:tcPr>
            <w:tcW w:w="5774" w:type="dxa"/>
            <w:tcBorders>
              <w:top w:val="single" w:sz="4" w:space="0" w:color="auto"/>
              <w:left w:val="single" w:sz="4" w:space="0" w:color="auto"/>
              <w:bottom w:val="single" w:sz="4" w:space="0" w:color="auto"/>
              <w:right w:val="single" w:sz="4" w:space="0" w:color="auto"/>
            </w:tcBorders>
            <w:hideMark/>
          </w:tcPr>
          <w:p w14:paraId="07894D47"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Tobramycin nebulised therapy</w:t>
            </w:r>
          </w:p>
          <w:p w14:paraId="39664D1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Shared care protocol will be provided by specialist centre initiating treatment.</w:t>
            </w:r>
          </w:p>
        </w:tc>
        <w:tc>
          <w:tcPr>
            <w:tcW w:w="4007" w:type="dxa"/>
            <w:tcBorders>
              <w:top w:val="single" w:sz="4" w:space="0" w:color="auto"/>
              <w:left w:val="single" w:sz="4" w:space="0" w:color="auto"/>
              <w:bottom w:val="single" w:sz="4" w:space="0" w:color="auto"/>
              <w:right w:val="single" w:sz="4" w:space="0" w:color="auto"/>
            </w:tcBorders>
            <w:hideMark/>
          </w:tcPr>
          <w:p w14:paraId="24A97E2C"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Chronic pulmonary pseudomonas infection in cystic fibrosis patients.</w:t>
            </w:r>
          </w:p>
        </w:tc>
      </w:tr>
      <w:tr w:rsidR="003D3D88" w:rsidRPr="004B0B02" w14:paraId="667A687F" w14:textId="77777777" w:rsidTr="002A720F">
        <w:trPr>
          <w:jc w:val="center"/>
        </w:trPr>
        <w:tc>
          <w:tcPr>
            <w:tcW w:w="568" w:type="dxa"/>
            <w:tcBorders>
              <w:top w:val="single" w:sz="4" w:space="0" w:color="auto"/>
              <w:left w:val="single" w:sz="4" w:space="0" w:color="auto"/>
              <w:bottom w:val="single" w:sz="4" w:space="0" w:color="auto"/>
              <w:right w:val="single" w:sz="4" w:space="0" w:color="auto"/>
            </w:tcBorders>
          </w:tcPr>
          <w:p w14:paraId="3E3C8C6F"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40</w:t>
            </w:r>
          </w:p>
        </w:tc>
        <w:tc>
          <w:tcPr>
            <w:tcW w:w="5774" w:type="dxa"/>
            <w:tcBorders>
              <w:top w:val="single" w:sz="4" w:space="0" w:color="auto"/>
              <w:left w:val="single" w:sz="4" w:space="0" w:color="auto"/>
              <w:bottom w:val="single" w:sz="4" w:space="0" w:color="auto"/>
              <w:right w:val="single" w:sz="4" w:space="0" w:color="auto"/>
            </w:tcBorders>
          </w:tcPr>
          <w:p w14:paraId="33E44488"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Sodium Zirconium Cyclosilicate (</w:t>
            </w:r>
            <w:proofErr w:type="spellStart"/>
            <w:r w:rsidRPr="004B0B02">
              <w:rPr>
                <w:rFonts w:ascii="Arial" w:hAnsi="Arial" w:cs="Arial"/>
                <w:color w:val="000000" w:themeColor="text1"/>
                <w:sz w:val="22"/>
                <w:szCs w:val="22"/>
              </w:rPr>
              <w:t>Lokelma</w:t>
            </w:r>
            <w:proofErr w:type="spellEnd"/>
            <w:r w:rsidRPr="004B0B02">
              <w:rPr>
                <w:rFonts w:ascii="Arial" w:hAnsi="Arial" w:cs="Arial"/>
                <w:color w:val="000000" w:themeColor="text1"/>
                <w:sz w:val="22"/>
                <w:szCs w:val="22"/>
              </w:rPr>
              <w:t>®)</w:t>
            </w:r>
          </w:p>
        </w:tc>
        <w:tc>
          <w:tcPr>
            <w:tcW w:w="4007" w:type="dxa"/>
            <w:tcBorders>
              <w:top w:val="single" w:sz="4" w:space="0" w:color="auto"/>
              <w:left w:val="single" w:sz="4" w:space="0" w:color="auto"/>
              <w:bottom w:val="single" w:sz="4" w:space="0" w:color="auto"/>
              <w:right w:val="single" w:sz="4" w:space="0" w:color="auto"/>
            </w:tcBorders>
          </w:tcPr>
          <w:p w14:paraId="5725F6D0" w14:textId="77777777" w:rsidR="003D3D88" w:rsidRPr="004B0B02" w:rsidRDefault="003D3D88" w:rsidP="002A720F">
            <w:pPr>
              <w:rPr>
                <w:rFonts w:ascii="Arial" w:hAnsi="Arial" w:cs="Arial"/>
                <w:color w:val="000000" w:themeColor="text1"/>
                <w:sz w:val="22"/>
                <w:szCs w:val="22"/>
              </w:rPr>
            </w:pPr>
            <w:r w:rsidRPr="004B0B02">
              <w:rPr>
                <w:rFonts w:ascii="Arial" w:hAnsi="Arial" w:cs="Arial"/>
                <w:color w:val="000000" w:themeColor="text1"/>
                <w:sz w:val="22"/>
                <w:szCs w:val="22"/>
              </w:rPr>
              <w:t>Hyperkalaemia</w:t>
            </w:r>
          </w:p>
        </w:tc>
      </w:tr>
    </w:tbl>
    <w:p w14:paraId="4C9A31BD" w14:textId="77777777" w:rsidR="008F3122" w:rsidRPr="008123B1" w:rsidRDefault="008F3122" w:rsidP="007C7305">
      <w:pPr>
        <w:rPr>
          <w:rFonts w:ascii="Arial" w:hAnsi="Arial" w:cs="Arial"/>
          <w:b/>
          <w:sz w:val="22"/>
          <w:szCs w:val="22"/>
        </w:rPr>
      </w:pP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6D12" w14:textId="77777777" w:rsidR="006B243E" w:rsidRDefault="006B243E" w:rsidP="00817691">
      <w:r>
        <w:separator/>
      </w:r>
    </w:p>
  </w:endnote>
  <w:endnote w:type="continuationSeparator" w:id="0">
    <w:p w14:paraId="0F34169A" w14:textId="77777777" w:rsidR="006B243E" w:rsidRDefault="006B243E"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AC6A" w14:textId="77777777" w:rsidR="006B243E" w:rsidRDefault="006B243E" w:rsidP="00817691">
      <w:r>
        <w:separator/>
      </w:r>
    </w:p>
  </w:footnote>
  <w:footnote w:type="continuationSeparator" w:id="0">
    <w:p w14:paraId="3A8AFF75" w14:textId="77777777" w:rsidR="006B243E" w:rsidRDefault="006B243E"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69FE9A88" w14:textId="77777777" w:rsidR="00AA72D2" w:rsidRPr="00AA72D2" w:rsidRDefault="00AA72D2" w:rsidP="00AA72D2">
          <w:pPr>
            <w:jc w:val="right"/>
            <w:rPr>
              <w:rFonts w:ascii="Arial" w:hAnsi="Arial" w:cs="Arial"/>
              <w:color w:val="595959"/>
              <w:sz w:val="16"/>
              <w:szCs w:val="18"/>
            </w:rPr>
          </w:pPr>
          <w:r w:rsidRPr="00AA72D2">
            <w:rPr>
              <w:rFonts w:ascii="Arial" w:hAnsi="Arial" w:cs="Arial"/>
              <w:color w:val="595959"/>
              <w:sz w:val="16"/>
              <w:szCs w:val="18"/>
            </w:rPr>
            <w:t>&lt;Sender details&gt;</w:t>
          </w:r>
        </w:p>
        <w:p w14:paraId="677B4F8F" w14:textId="77777777" w:rsidR="00AA72D2" w:rsidRPr="00AA72D2" w:rsidRDefault="00AA72D2" w:rsidP="00AA72D2">
          <w:pPr>
            <w:jc w:val="right"/>
            <w:rPr>
              <w:rFonts w:ascii="Arial" w:hAnsi="Arial" w:cs="Arial"/>
              <w:color w:val="595959"/>
              <w:sz w:val="16"/>
              <w:szCs w:val="18"/>
            </w:rPr>
          </w:pPr>
          <w:r w:rsidRPr="00AA72D2">
            <w:rPr>
              <w:rFonts w:ascii="Arial" w:hAnsi="Arial" w:cs="Arial"/>
              <w:color w:val="595959"/>
              <w:sz w:val="16"/>
              <w:szCs w:val="18"/>
            </w:rPr>
            <w:t>&lt;Sender Address&gt;</w:t>
          </w:r>
        </w:p>
        <w:p w14:paraId="00A82055" w14:textId="77777777" w:rsidR="00AA72D2" w:rsidRPr="00AA72D2" w:rsidRDefault="00AA72D2" w:rsidP="00AA72D2">
          <w:pPr>
            <w:jc w:val="right"/>
            <w:rPr>
              <w:rFonts w:ascii="Arial" w:hAnsi="Arial" w:cs="Arial"/>
              <w:color w:val="595959"/>
              <w:sz w:val="16"/>
              <w:szCs w:val="18"/>
            </w:rPr>
          </w:pPr>
          <w:r w:rsidRPr="00AA72D2">
            <w:rPr>
              <w:rFonts w:ascii="Arial" w:hAnsi="Arial" w:cs="Arial"/>
              <w:color w:val="595959"/>
              <w:sz w:val="16"/>
              <w:szCs w:val="18"/>
            </w:rPr>
            <w:t>&lt;Sender Details&gt;</w:t>
          </w:r>
        </w:p>
        <w:p w14:paraId="7C0FBF0B" w14:textId="3639F299" w:rsidR="00817691" w:rsidRDefault="00AA72D2" w:rsidP="00AA72D2">
          <w:pPr>
            <w:jc w:val="right"/>
            <w:rPr>
              <w:rFonts w:ascii="Arial" w:hAnsi="Arial" w:cs="Arial"/>
            </w:rPr>
          </w:pPr>
          <w:r w:rsidRPr="00AA72D2">
            <w:rPr>
              <w:rFonts w:ascii="Arial" w:hAnsi="Arial" w:cs="Arial"/>
              <w:color w:val="595959"/>
              <w:sz w:val="16"/>
              <w:szCs w:val="18"/>
            </w:rPr>
            <w:t>&lt;Organisation Details&gt;</w:t>
          </w: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27F1C"/>
    <w:rsid w:val="0003598A"/>
    <w:rsid w:val="001131E1"/>
    <w:rsid w:val="0025010B"/>
    <w:rsid w:val="0032652F"/>
    <w:rsid w:val="00395FCA"/>
    <w:rsid w:val="003D3D88"/>
    <w:rsid w:val="003E4DBC"/>
    <w:rsid w:val="004E4F4C"/>
    <w:rsid w:val="00566FC5"/>
    <w:rsid w:val="00697B89"/>
    <w:rsid w:val="006B243E"/>
    <w:rsid w:val="0077402D"/>
    <w:rsid w:val="007C7305"/>
    <w:rsid w:val="008123B1"/>
    <w:rsid w:val="00817691"/>
    <w:rsid w:val="008B6969"/>
    <w:rsid w:val="008D6F18"/>
    <w:rsid w:val="008F3122"/>
    <w:rsid w:val="00980BD2"/>
    <w:rsid w:val="00AA72D2"/>
    <w:rsid w:val="00AF3A4F"/>
    <w:rsid w:val="00AF48A1"/>
    <w:rsid w:val="00BE5DF2"/>
    <w:rsid w:val="00D64423"/>
    <w:rsid w:val="00E35539"/>
    <w:rsid w:val="00ED45A4"/>
    <w:rsid w:val="00FB50E9"/>
    <w:rsid w:val="00FD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953681672">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 w:id="13741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10</cp:revision>
  <dcterms:created xsi:type="dcterms:W3CDTF">2024-08-28T15:27:00Z</dcterms:created>
  <dcterms:modified xsi:type="dcterms:W3CDTF">2024-09-02T12:32:00Z</dcterms:modified>
</cp:coreProperties>
</file>